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[</w:t>
      </w:r>
      <w:r w:rsidRPr="00B961DC">
        <w:rPr>
          <w:b/>
          <w:bCs/>
          <w:i/>
          <w:iCs/>
        </w:rPr>
        <w:t>Insert common or trading name of the SRO</w:t>
      </w:r>
      <w:r w:rsidRPr="00B961DC">
        <w:rPr>
          <w:b/>
          <w:bCs/>
        </w:rPr>
        <w:t>] RISK MANAGEMENT PLAN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Background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details relating to the SRO – its legal name and any other trading or business names it uses, what it is</w:t>
      </w:r>
      <w:r>
        <w:rPr>
          <w:i/>
          <w:iCs/>
        </w:rPr>
        <w:t xml:space="preserve"> </w:t>
      </w:r>
      <w:r w:rsidRPr="00B961DC">
        <w:rPr>
          <w:i/>
          <w:iCs/>
        </w:rPr>
        <w:t>(for example, incorporated association), its history, its membership structure, its objects, its activities and any other</w:t>
      </w:r>
      <w:r>
        <w:rPr>
          <w:i/>
          <w:iCs/>
        </w:rPr>
        <w:t xml:space="preserve"> </w:t>
      </w:r>
      <w:r w:rsidRPr="00B961DC">
        <w:rPr>
          <w:i/>
          <w:iCs/>
        </w:rPr>
        <w:t>relevant background.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Key stakeholder roles and relationships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details relating to the SRO's key stakeholders (including members, parents, local and/or state government,</w:t>
      </w:r>
      <w:r>
        <w:rPr>
          <w:i/>
          <w:iCs/>
        </w:rPr>
        <w:t xml:space="preserve"> </w:t>
      </w:r>
      <w:r w:rsidRPr="00B961DC">
        <w:rPr>
          <w:i/>
          <w:iCs/>
        </w:rPr>
        <w:t>media, other SROs, sponsors, suppliers, state or national sporting organisations) and how these stakeholders ‘fit into’</w:t>
      </w:r>
      <w:r>
        <w:rPr>
          <w:i/>
          <w:iCs/>
        </w:rPr>
        <w:t xml:space="preserve"> </w:t>
      </w:r>
      <w:r w:rsidRPr="00B961DC">
        <w:rPr>
          <w:i/>
          <w:iCs/>
        </w:rPr>
        <w:t>the SRO, what their relationship is or what each stakeholder is responsible for.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statements such as the following.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]’s key stakeholders are listed, as part of our efforts to identify</w:t>
      </w:r>
      <w:r>
        <w:t xml:space="preserve"> </w:t>
      </w:r>
      <w:r w:rsidRPr="00B961DC">
        <w:t>and understand our internal and external context.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recognises that stakeholders (defined as: those persons or</w:t>
      </w:r>
      <w:r>
        <w:t xml:space="preserve"> </w:t>
      </w:r>
      <w:r w:rsidRPr="00B961DC">
        <w:t>organisations within or outside [</w:t>
      </w:r>
      <w:r w:rsidRPr="00B961DC">
        <w:rPr>
          <w:i/>
          <w:iCs/>
        </w:rPr>
        <w:t>insert common or trading name of the SRO</w:t>
      </w:r>
      <w:r w:rsidRPr="00B961DC">
        <w:t>] that can affect, be affected</w:t>
      </w:r>
      <w:r>
        <w:t xml:space="preserve"> </w:t>
      </w:r>
      <w:r w:rsidRPr="00B961DC">
        <w:t>by, or perceive themselves to be affected by, our decisions or activities) should be kept informed about</w:t>
      </w:r>
      <w:r>
        <w:t xml:space="preserve"> </w:t>
      </w:r>
      <w:r w:rsidRPr="00B961DC">
        <w:t>relevant aspects of [</w:t>
      </w:r>
      <w:r w:rsidRPr="00B961DC">
        <w:rPr>
          <w:i/>
          <w:iCs/>
        </w:rPr>
        <w:t>insert common or trading name of the SRO</w:t>
      </w:r>
      <w:r w:rsidRPr="00B961DC">
        <w:t>]’s risk management process, and asked</w:t>
      </w:r>
      <w:r>
        <w:t xml:space="preserve"> </w:t>
      </w:r>
      <w:r w:rsidRPr="00B961DC">
        <w:t>about their views in order to build acceptance and generate solutions.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will consult with relevant stakeholders in an effort to</w:t>
      </w:r>
      <w:r>
        <w:t xml:space="preserve"> </w:t>
      </w:r>
      <w:r w:rsidRPr="00B961DC">
        <w:t>understand their objectives, perceptions and concerns, so they can consider them in our application of</w:t>
      </w:r>
      <w:r>
        <w:t xml:space="preserve"> </w:t>
      </w:r>
      <w:r w:rsidRPr="00B961DC">
        <w:t>risk management.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Contracts register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List the agreements - and their key terms - the SRO has entered into with various parties, including any leases or for</w:t>
      </w:r>
      <w:r>
        <w:rPr>
          <w:i/>
          <w:iCs/>
        </w:rPr>
        <w:t xml:space="preserve"> </w:t>
      </w:r>
      <w:r w:rsidRPr="00B961DC">
        <w:rPr>
          <w:i/>
          <w:iCs/>
        </w:rPr>
        <w:t>the provision of goods and services, or sponsorship.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statements such as these.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has entered into a number of agreements with various</w:t>
      </w:r>
      <w:r>
        <w:t xml:space="preserve"> </w:t>
      </w:r>
      <w:r w:rsidRPr="00B961DC">
        <w:t>parties, including a lease, for the provision of goods and services, and sponsorship.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The following is a list of these contracts, and the key terms and conditions associated with each of</w:t>
      </w:r>
      <w:r>
        <w:t xml:space="preserve"> </w:t>
      </w:r>
      <w:r w:rsidRPr="00B961DC">
        <w:t>them. [</w:t>
      </w:r>
      <w:r w:rsidRPr="00B961DC">
        <w:rPr>
          <w:i/>
          <w:iCs/>
        </w:rPr>
        <w:t>Insert a list</w:t>
      </w:r>
      <w:r w:rsidRPr="00B961DC">
        <w:t>]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Insurance arrangements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Provide a summary of the SRO's insurance arrangements. Refer to informat</w:t>
      </w:r>
      <w:r>
        <w:rPr>
          <w:i/>
          <w:iCs/>
        </w:rPr>
        <w:t>ion sheet five - Insurance and R</w:t>
      </w:r>
      <w:r w:rsidRPr="00B961DC">
        <w:rPr>
          <w:i/>
          <w:iCs/>
        </w:rPr>
        <w:t>isk</w:t>
      </w:r>
      <w:r>
        <w:rPr>
          <w:i/>
          <w:iCs/>
        </w:rPr>
        <w:t xml:space="preserve"> </w:t>
      </w:r>
      <w:r w:rsidRPr="00B961DC">
        <w:rPr>
          <w:i/>
          <w:iCs/>
        </w:rPr>
        <w:t>Management.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statements such as the following.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sees insurance as a financial safety net, when other</w:t>
      </w:r>
      <w:r>
        <w:t xml:space="preserve"> </w:t>
      </w:r>
      <w:r w:rsidRPr="00B961DC">
        <w:t>risk management strategies fail.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lastRenderedPageBreak/>
        <w:t>In sourcing insurance, it has consulted a broker that has experience in dealing with SROs. It has advised</w:t>
      </w:r>
      <w:r>
        <w:t xml:space="preserve"> </w:t>
      </w:r>
      <w:r w:rsidRPr="00B961DC">
        <w:t>the broker in writing of what its insurance requirements are, read the policies to ensure they cover the</w:t>
      </w:r>
      <w:r>
        <w:t xml:space="preserve"> </w:t>
      </w:r>
      <w:r w:rsidRPr="00B961DC">
        <w:t>risks outlined to the broker, and has clearly communicated any cover afforded to members or affiliates,</w:t>
      </w:r>
      <w:r>
        <w:t xml:space="preserve"> </w:t>
      </w:r>
      <w:r w:rsidRPr="00B961DC">
        <w:t>along with the claims procedure.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Purchased insurance is relevant to its risk profile. It has been purchased after consideration of the risks</w:t>
      </w:r>
      <w:r>
        <w:t xml:space="preserve"> </w:t>
      </w:r>
      <w:r w:rsidRPr="00B961DC">
        <w:t>identified and assessed by the organisation, and the availability and cost of insurance.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The following is a summary of these insurance arrangements. [</w:t>
      </w:r>
      <w:r w:rsidRPr="00B961DC">
        <w:rPr>
          <w:i/>
          <w:iCs/>
        </w:rPr>
        <w:t>Insert summary here.</w:t>
      </w:r>
      <w:r w:rsidRPr="00B961DC">
        <w:t>]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Rules and policies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a list of the SRO’s rules and policies in respect of its operations and activities.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some of the following statements.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has in place a number of rules and policies in respect of its</w:t>
      </w:r>
      <w:r>
        <w:t xml:space="preserve"> </w:t>
      </w:r>
      <w:r w:rsidRPr="00B961DC">
        <w:t>operations and activities.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The following is a summary of these rules and policies [</w:t>
      </w:r>
      <w:r w:rsidRPr="00B961DC">
        <w:rPr>
          <w:i/>
          <w:iCs/>
        </w:rPr>
        <w:t>insert summary here</w:t>
      </w:r>
      <w:r w:rsidRPr="00B961DC">
        <w:t>].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SRO risk based on consideration of its internal and external context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information about the general nature of the risks facing the SRO, such as those arising from: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legal and commercial relationships (for example, breaches of legislation that apply to activities including employment, fundraising, gaming or licencing)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financial management (for example a lack of awareness on the part of directors as to the financial status of the organisation)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people and related occupational health and safety (for example failure to adhere to contracts associated with contractors or sponsors, or failure to properly manage volunteers)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proofErr w:type="gramStart"/>
      <w:r w:rsidRPr="00B961DC">
        <w:rPr>
          <w:i/>
          <w:iCs/>
        </w:rPr>
        <w:t>assets</w:t>
      </w:r>
      <w:proofErr w:type="gramEnd"/>
      <w:r w:rsidRPr="00B961DC">
        <w:rPr>
          <w:i/>
          <w:iCs/>
        </w:rPr>
        <w:t xml:space="preserve"> (for example, damage caused by drought, fire, storms, earthquakes, vermin, disease or contamination).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information about how the risks might impact on a range of areas, including but not limited to: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assets and resources, including staff, office bearers, contractors, members, visitors and the community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revenue and entitlements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direct and indirect costs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activities and events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proofErr w:type="gramStart"/>
      <w:r w:rsidRPr="00B961DC">
        <w:rPr>
          <w:i/>
          <w:iCs/>
        </w:rPr>
        <w:t>the</w:t>
      </w:r>
      <w:proofErr w:type="gramEnd"/>
      <w:r w:rsidRPr="00B961DC">
        <w:rPr>
          <w:i/>
          <w:iCs/>
        </w:rPr>
        <w:t xml:space="preserve"> environment.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using some of the following statements.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The general community expects [</w:t>
      </w:r>
      <w:r w:rsidRPr="00B961DC">
        <w:rPr>
          <w:i/>
          <w:iCs/>
        </w:rPr>
        <w:t>insert common or trading name of the SRO</w:t>
      </w:r>
      <w:r w:rsidRPr="00B961DC">
        <w:t>] to exercise an appropriate</w:t>
      </w:r>
      <w:r>
        <w:t xml:space="preserve"> </w:t>
      </w:r>
      <w:r w:rsidRPr="00B961DC">
        <w:t xml:space="preserve">duty of care to </w:t>
      </w:r>
      <w:proofErr w:type="gramStart"/>
      <w:r w:rsidRPr="00B961DC">
        <w:t>all its</w:t>
      </w:r>
      <w:proofErr w:type="gramEnd"/>
      <w:r w:rsidRPr="00B961DC">
        <w:t xml:space="preserve"> staff, contractors, members and guests, and that it accepts its responsibilities to</w:t>
      </w:r>
      <w:r>
        <w:t xml:space="preserve"> </w:t>
      </w:r>
      <w:r w:rsidRPr="00B961DC">
        <w:t>the community as a whole.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is a workplace, given it employs staff and independent</w:t>
      </w:r>
      <w:r>
        <w:t xml:space="preserve"> </w:t>
      </w:r>
      <w:r w:rsidRPr="00B961DC">
        <w:t>contractors, and as such is acutely aware of its obligations to comply with relevant legislation.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lastRenderedPageBreak/>
        <w:t>Legislative requirements for activities conducted by [</w:t>
      </w:r>
      <w:r w:rsidRPr="00B961DC">
        <w:rPr>
          <w:i/>
          <w:iCs/>
        </w:rPr>
        <w:t>insert common or trading name of the SRO</w:t>
      </w:r>
      <w:r w:rsidRPr="00B961DC">
        <w:t>], including</w:t>
      </w:r>
      <w:r>
        <w:t xml:space="preserve"> </w:t>
      </w:r>
      <w:r w:rsidRPr="00B961DC">
        <w:t>compliance to federal, state and local government regulations in areas such as the environment, gaming</w:t>
      </w:r>
      <w:r>
        <w:t xml:space="preserve"> </w:t>
      </w:r>
      <w:r w:rsidRPr="00B961DC">
        <w:t>and licencing, all need to be taken into account when managing risks, as do the political, social and</w:t>
      </w:r>
      <w:r>
        <w:t xml:space="preserve"> </w:t>
      </w:r>
      <w:r w:rsidRPr="00B961DC">
        <w:t>economic environments.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is exposed to risks which may result in financial losses, cause</w:t>
      </w:r>
      <w:r>
        <w:t xml:space="preserve"> </w:t>
      </w:r>
      <w:r w:rsidRPr="00B961DC">
        <w:t>loss of reputation or bad publicity, such as the following.</w:t>
      </w:r>
    </w:p>
    <w:p w:rsidR="00B961DC" w:rsidRPr="00B961DC" w:rsidRDefault="00B961DC" w:rsidP="00B961DC">
      <w:pPr>
        <w:ind w:firstLine="425"/>
        <w:contextualSpacing/>
      </w:pPr>
      <w:r w:rsidRPr="00B961DC">
        <w:t xml:space="preserve">1. </w:t>
      </w:r>
      <w:proofErr w:type="gramStart"/>
      <w:r w:rsidRPr="00B961DC">
        <w:t>legal</w:t>
      </w:r>
      <w:proofErr w:type="gramEnd"/>
      <w:r w:rsidRPr="00B961DC">
        <w:t xml:space="preserve"> and commercial relationships</w:t>
      </w:r>
    </w:p>
    <w:p w:rsidR="00B961DC" w:rsidRPr="00B961DC" w:rsidRDefault="00B961DC" w:rsidP="00B961DC">
      <w:pPr>
        <w:ind w:firstLine="425"/>
        <w:contextualSpacing/>
      </w:pPr>
      <w:r w:rsidRPr="00B961DC">
        <w:t xml:space="preserve">2. </w:t>
      </w:r>
      <w:proofErr w:type="gramStart"/>
      <w:r w:rsidRPr="00B961DC">
        <w:t>financial</w:t>
      </w:r>
      <w:proofErr w:type="gramEnd"/>
      <w:r w:rsidRPr="00B961DC">
        <w:t xml:space="preserve"> management</w:t>
      </w:r>
    </w:p>
    <w:p w:rsidR="00B961DC" w:rsidRPr="00B961DC" w:rsidRDefault="00B961DC" w:rsidP="00B961DC">
      <w:pPr>
        <w:ind w:firstLine="425"/>
        <w:contextualSpacing/>
      </w:pPr>
      <w:r w:rsidRPr="00B961DC">
        <w:t xml:space="preserve">3. </w:t>
      </w:r>
      <w:proofErr w:type="gramStart"/>
      <w:r w:rsidRPr="00B961DC">
        <w:t>people</w:t>
      </w:r>
      <w:proofErr w:type="gramEnd"/>
      <w:r w:rsidRPr="00B961DC">
        <w:t xml:space="preserve"> and related occupational health and safety</w:t>
      </w:r>
    </w:p>
    <w:p w:rsidR="00B961DC" w:rsidRPr="00B961DC" w:rsidRDefault="00B961DC" w:rsidP="00B961DC">
      <w:pPr>
        <w:ind w:firstLine="425"/>
        <w:contextualSpacing/>
      </w:pPr>
      <w:r w:rsidRPr="00B961DC">
        <w:t xml:space="preserve">4. </w:t>
      </w:r>
      <w:proofErr w:type="gramStart"/>
      <w:r w:rsidRPr="00B961DC">
        <w:t>assets</w:t>
      </w:r>
      <w:proofErr w:type="gramEnd"/>
      <w:r w:rsidRPr="00B961DC">
        <w:t>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Additional risks might include: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a lack of awareness on the part of directors as to the financial status of the organisation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recognise and take advantage of an opportunity to build club membership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of a fundraising activity to generate a profit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deliver on obligations to sponsors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abide by [</w:t>
      </w:r>
      <w:r w:rsidRPr="00B961DC">
        <w:rPr>
          <w:i/>
          <w:iCs/>
        </w:rPr>
        <w:t>insert common or trading name of the SRO</w:t>
      </w:r>
      <w:r w:rsidRPr="00B961DC">
        <w:t>] constitution or meet incorporation</w:t>
      </w:r>
      <w:r>
        <w:t xml:space="preserve"> </w:t>
      </w:r>
      <w:r w:rsidRPr="00B961DC">
        <w:t>obligations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provide safe systems of work for staff, contractors or volunteers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a breach of legislation that applies to activities such as employment, fundraising, gaming or licencing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adhere to contracts associated with contractors or sponsors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properly manage volunteers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injury or death of an employee or member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market, promote or manage an event properly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unfavourable publicity resulting from a club activity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undertake strategic, operational or financial planning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failure to seek or secure grants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fraud or misappropriation of funds or information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illegal entry and vandalism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rPr>
          <w:i/>
          <w:iCs/>
        </w:rPr>
      </w:pPr>
      <w:r w:rsidRPr="00B961DC">
        <w:t>a breach of building codes or local government regulations associated with aspects of the [</w:t>
      </w:r>
      <w:r w:rsidRPr="00B961DC">
        <w:rPr>
          <w:i/>
          <w:iCs/>
        </w:rPr>
        <w:t>insert common or trading name of the SRO</w:t>
      </w:r>
      <w:r w:rsidRPr="00B961DC">
        <w:t>]’s facility, including the kitchen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damage caused by drought, fire, storms, earthquakes, vermin, disease or contamination</w:t>
      </w:r>
    </w:p>
    <w:p w:rsidR="00B961DC" w:rsidRDefault="00B961DC" w:rsidP="00B961DC">
      <w:pPr>
        <w:pStyle w:val="ListParagraph"/>
        <w:numPr>
          <w:ilvl w:val="0"/>
          <w:numId w:val="2"/>
        </w:numPr>
      </w:pPr>
      <w:proofErr w:type="gramStart"/>
      <w:r w:rsidRPr="00B961DC">
        <w:t>loss</w:t>
      </w:r>
      <w:proofErr w:type="gramEnd"/>
      <w:r w:rsidRPr="00B961DC">
        <w:t xml:space="preserve"> caused by obsolete and unreliable technology.</w:t>
      </w:r>
    </w:p>
    <w:p w:rsidR="00B961DC" w:rsidRPr="00B961DC" w:rsidRDefault="00B961DC" w:rsidP="00B961DC">
      <w:pPr>
        <w:pStyle w:val="ListParagraph"/>
      </w:pP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Risks to [</w:t>
      </w:r>
      <w:r w:rsidRPr="00B961DC">
        <w:rPr>
          <w:i/>
          <w:iCs/>
        </w:rPr>
        <w:t>insert common or trading name of the SRO</w:t>
      </w:r>
      <w:r w:rsidRPr="00B961DC">
        <w:t>] may affect a range of areas, including but not</w:t>
      </w:r>
      <w:r>
        <w:t xml:space="preserve"> </w:t>
      </w:r>
      <w:r w:rsidRPr="00B961DC">
        <w:t>limited to: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assets and resources including staff, office bearers, contractors, members, visitors and the</w:t>
      </w:r>
      <w:r>
        <w:t xml:space="preserve"> </w:t>
      </w:r>
      <w:r w:rsidRPr="00B961DC">
        <w:t>community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revenue and entitlements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direct and indirect costs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activities and events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the environment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</w:pPr>
      <w:r w:rsidRPr="00B961DC">
        <w:t>intangibles such as reputation and goodwill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lastRenderedPageBreak/>
        <w:t>Information about specific risks and controls should be located in a risk register.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General external risks (those associated with other parties such as key stakeholders) can be listed here, but specific</w:t>
      </w:r>
      <w:r>
        <w:rPr>
          <w:i/>
          <w:iCs/>
        </w:rPr>
        <w:t xml:space="preserve"> </w:t>
      </w:r>
      <w:r w:rsidRPr="00B961DC">
        <w:rPr>
          <w:i/>
          <w:iCs/>
        </w:rPr>
        <w:t>examples of these should be listed in the next section or a risk register.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Stakeholder risks and risk management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information about the risks key stakeholders face, the risk management plans they have in place (if any) and</w:t>
      </w:r>
      <w:r>
        <w:rPr>
          <w:i/>
          <w:iCs/>
        </w:rPr>
        <w:t xml:space="preserve"> </w:t>
      </w:r>
      <w:r w:rsidRPr="00B961DC">
        <w:rPr>
          <w:i/>
          <w:iCs/>
        </w:rPr>
        <w:t>how those plans tie in with the SRO's risk management plans. This might include: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risk management information provided by a regional, state or national body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information about the risks (and their management) associated with a facility the SRO uses on a regular basis, such as a risk management plan for that venue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rPr>
          <w:i/>
          <w:iCs/>
        </w:rPr>
        <w:t>information relating to any agreements between the SRO and other parties, such as a school or a council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proofErr w:type="gramStart"/>
      <w:r w:rsidRPr="00B961DC">
        <w:rPr>
          <w:i/>
          <w:iCs/>
        </w:rPr>
        <w:t>expectations</w:t>
      </w:r>
      <w:proofErr w:type="gramEnd"/>
      <w:r w:rsidRPr="00B961DC">
        <w:rPr>
          <w:i/>
          <w:iCs/>
        </w:rPr>
        <w:t xml:space="preserve"> of insurers.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statements such as these.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has not assumed the responsibility for the risk management</w:t>
      </w:r>
      <w:r>
        <w:t xml:space="preserve"> </w:t>
      </w:r>
      <w:r w:rsidRPr="00B961DC">
        <w:t>plans of other key stakeholders. However it expects full and transparent communication and treatment</w:t>
      </w:r>
      <w:r>
        <w:t xml:space="preserve"> </w:t>
      </w:r>
      <w:r w:rsidRPr="00B961DC">
        <w:t>of the risks that are the responsibility of other stakeholders.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Failure to communicate with stakeholders may prejudice [</w:t>
      </w:r>
      <w:r w:rsidRPr="00B961DC">
        <w:rPr>
          <w:i/>
          <w:iCs/>
        </w:rPr>
        <w:t>insert common or trading name of the SRO</w:t>
      </w:r>
      <w:r w:rsidRPr="00B961DC">
        <w:t>]’s,</w:t>
      </w:r>
      <w:r>
        <w:t xml:space="preserve"> </w:t>
      </w:r>
      <w:r w:rsidRPr="00B961DC">
        <w:t>other stakeholders and the objects of this risk management plan.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has recorded relevant risks and risk management plans</w:t>
      </w:r>
      <w:r>
        <w:t xml:space="preserve"> </w:t>
      </w:r>
      <w:r w:rsidRPr="00B961DC">
        <w:t>associated with its stakeholders in the following table.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Risk management policy</w:t>
      </w:r>
    </w:p>
    <w:p w:rsidR="00B961DC" w:rsidRPr="00B961DC" w:rsidRDefault="00B961DC" w:rsidP="00B961DC">
      <w:pPr>
        <w:rPr>
          <w:i/>
          <w:iCs/>
        </w:rPr>
      </w:pPr>
      <w:r w:rsidRPr="00B961DC">
        <w:t>I</w:t>
      </w:r>
      <w:r w:rsidRPr="00B961DC">
        <w:rPr>
          <w:i/>
          <w:iCs/>
        </w:rPr>
        <w:t>nsert a risk management policy as determined and adopted by the SRO.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Refer to information sheet seven - Risk management policy template.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these statements.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B961DC">
        <w:rPr>
          <w:i/>
          <w:iCs/>
        </w:rPr>
        <w:t>Insert common or trading name of the SRO</w:t>
      </w:r>
      <w:r w:rsidRPr="00B961DC">
        <w:t>] has formulate</w:t>
      </w:r>
      <w:r>
        <w:t xml:space="preserve">d and adopted a risk management </w:t>
      </w:r>
      <w:r w:rsidRPr="00B961DC">
        <w:t>policy.</w:t>
      </w:r>
    </w:p>
    <w:p w:rsidR="00B961DC" w:rsidRPr="00B961DC" w:rsidRDefault="00B961DC" w:rsidP="00B961DC">
      <w:pPr>
        <w:pStyle w:val="ListParagraph"/>
        <w:numPr>
          <w:ilvl w:val="0"/>
          <w:numId w:val="2"/>
        </w:numPr>
        <w:ind w:left="426" w:hanging="426"/>
      </w:pPr>
      <w:r w:rsidRPr="00B961DC">
        <w:t>The risk management policy is an attachment to this risk-management plan.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Risk management process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information about the risk management process undertaken to establish, implement and communicate the</w:t>
      </w:r>
      <w:r w:rsidR="00EF0C45">
        <w:rPr>
          <w:i/>
          <w:iCs/>
        </w:rPr>
        <w:t xml:space="preserve"> </w:t>
      </w:r>
      <w:r w:rsidRPr="00B961DC">
        <w:rPr>
          <w:i/>
          <w:iCs/>
        </w:rPr>
        <w:t>plan and the outcomes. Refer to information sheet six - Risk management in practice, for details on each of these</w:t>
      </w:r>
      <w:r w:rsidR="00EF0C45">
        <w:rPr>
          <w:i/>
          <w:iCs/>
        </w:rPr>
        <w:t xml:space="preserve"> </w:t>
      </w:r>
      <w:r w:rsidRPr="00B961DC">
        <w:rPr>
          <w:i/>
          <w:iCs/>
        </w:rPr>
        <w:t>steps.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information relating to the following.</w:t>
      </w:r>
    </w:p>
    <w:p w:rsidR="00B961DC" w:rsidRPr="00EF0C45" w:rsidRDefault="00B961DC" w:rsidP="00EF0C45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EF0C45">
        <w:rPr>
          <w:i/>
          <w:iCs/>
        </w:rPr>
        <w:t>Establishing the risk context - the internal and external environment in which the SRO and its stakeholders operate.</w:t>
      </w:r>
    </w:p>
    <w:p w:rsidR="00B961DC" w:rsidRPr="00EF0C45" w:rsidRDefault="00B961DC" w:rsidP="00EF0C45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EF0C45">
        <w:rPr>
          <w:i/>
          <w:iCs/>
        </w:rPr>
        <w:lastRenderedPageBreak/>
        <w:t>Risk assessment - including risk-identification tools and techniques such as workshops, audits, brainstorming or</w:t>
      </w:r>
      <w:r w:rsidR="00EF0C45" w:rsidRPr="00EF0C45">
        <w:rPr>
          <w:i/>
          <w:iCs/>
        </w:rPr>
        <w:t xml:space="preserve"> </w:t>
      </w:r>
      <w:r w:rsidRPr="00EF0C45">
        <w:rPr>
          <w:i/>
          <w:iCs/>
        </w:rPr>
        <w:t>scenario analysis, and risk analysis and evaluation processes. Refer to information sheet nine for advice on</w:t>
      </w:r>
      <w:r w:rsidR="00EF0C45" w:rsidRPr="00EF0C45">
        <w:rPr>
          <w:i/>
          <w:iCs/>
        </w:rPr>
        <w:t xml:space="preserve"> </w:t>
      </w:r>
      <w:r w:rsidRPr="00EF0C45">
        <w:rPr>
          <w:i/>
          <w:iCs/>
        </w:rPr>
        <w:t xml:space="preserve">risk-management audits, and information sheet six for advice on the analysis and </w:t>
      </w:r>
      <w:r w:rsidR="00EF0C45" w:rsidRPr="00EF0C45">
        <w:rPr>
          <w:i/>
          <w:iCs/>
        </w:rPr>
        <w:t>evaluation</w:t>
      </w:r>
      <w:r w:rsidRPr="00EF0C45">
        <w:rPr>
          <w:i/>
          <w:iCs/>
        </w:rPr>
        <w:t xml:space="preserve"> of risk.</w:t>
      </w:r>
    </w:p>
    <w:p w:rsidR="00B961DC" w:rsidRPr="00EF0C45" w:rsidRDefault="00B961DC" w:rsidP="00EF0C45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EF0C45">
        <w:rPr>
          <w:i/>
          <w:iCs/>
        </w:rPr>
        <w:t>Risk treatment – including options such as accepting, avoiding, reducing, transferring, retaining or financing the risk.</w:t>
      </w:r>
    </w:p>
    <w:p w:rsidR="00B961DC" w:rsidRPr="00EF0C45" w:rsidRDefault="00B961DC" w:rsidP="00EF0C45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EF0C45">
        <w:rPr>
          <w:i/>
          <w:iCs/>
        </w:rPr>
        <w:t>Communication, consultation, evaluation and modification – including the communication and consultation</w:t>
      </w:r>
      <w:r w:rsidR="00EF0C45" w:rsidRPr="00EF0C45">
        <w:rPr>
          <w:i/>
          <w:iCs/>
        </w:rPr>
        <w:t xml:space="preserve"> </w:t>
      </w:r>
      <w:r w:rsidRPr="00EF0C45">
        <w:rPr>
          <w:i/>
          <w:iCs/>
        </w:rPr>
        <w:t>associated with developing and implementing the plan, along with how it was evaluated and modified to reflect</w:t>
      </w:r>
      <w:r w:rsidR="00EF0C45" w:rsidRPr="00EF0C45">
        <w:rPr>
          <w:i/>
          <w:iCs/>
        </w:rPr>
        <w:t xml:space="preserve"> </w:t>
      </w:r>
      <w:r w:rsidRPr="00EF0C45">
        <w:rPr>
          <w:i/>
          <w:iCs/>
        </w:rPr>
        <w:t>changes in circumstances.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statements such as: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EF0C45">
        <w:rPr>
          <w:i/>
          <w:iCs/>
        </w:rPr>
        <w:t>Insert common or trading name of the SRO</w:t>
      </w:r>
      <w:r w:rsidRPr="00B961DC">
        <w:t>]’s risk management plan is a result of the organisation</w:t>
      </w:r>
      <w:r w:rsidR="00EF0C45">
        <w:t xml:space="preserve"> </w:t>
      </w:r>
      <w:r w:rsidRPr="00B961DC">
        <w:t>engaging people with a sound understanding and experience in the activity or organisation to examine</w:t>
      </w:r>
      <w:r w:rsidR="00EF0C45">
        <w:t xml:space="preserve"> </w:t>
      </w:r>
      <w:r w:rsidRPr="00B961DC">
        <w:t>all sources of risk and identify and define risks by asking what could happen, what is the likelihood of</w:t>
      </w:r>
      <w:r w:rsidR="00EF0C45">
        <w:t xml:space="preserve"> </w:t>
      </w:r>
      <w:r w:rsidRPr="00B961DC">
        <w:t>something happening, and what will the consequences be if they do happen?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The nominated persons (or committee) identified, analysed and evaluated risks by employing a range of</w:t>
      </w:r>
      <w:r w:rsidR="00EF0C45">
        <w:t xml:space="preserve"> </w:t>
      </w:r>
      <w:r w:rsidRPr="00B961DC">
        <w:t>risk management tools including audits, a risk calculator and a risk register.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The process for identifying and managing risk involved a series of logical steps.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709" w:hanging="283"/>
      </w:pPr>
      <w:r w:rsidRPr="00B961DC">
        <w:t>Establishing the risk context to gain an understanding of the factors that affect risk management,</w:t>
      </w:r>
      <w:r w:rsidR="00EF0C45">
        <w:t xml:space="preserve"> </w:t>
      </w:r>
      <w:r w:rsidRPr="00B961DC">
        <w:t>both outside the organisation (for example, social standards) and inside (including goals,</w:t>
      </w:r>
      <w:r w:rsidR="00EF0C45">
        <w:t xml:space="preserve"> </w:t>
      </w:r>
      <w:r w:rsidRPr="00B961DC">
        <w:t>relationships, activities and capabilities). This included consideration of the influence of key</w:t>
      </w:r>
      <w:r w:rsidR="00EF0C45">
        <w:t xml:space="preserve"> </w:t>
      </w:r>
      <w:r w:rsidRPr="00B961DC">
        <w:t>stakeholders. Information relating to this has been included in sections of this risk management plan</w:t>
      </w:r>
      <w:r w:rsidR="00EF0C45">
        <w:t xml:space="preserve"> </w:t>
      </w:r>
      <w:r w:rsidRPr="00B961DC">
        <w:t>headed ‘Background’ and ‘Stakeholders’.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709" w:hanging="283"/>
      </w:pPr>
      <w:r w:rsidRPr="00B961DC">
        <w:t>Identifying risks to which the organisation and its people are exposed. This involved considering</w:t>
      </w:r>
      <w:r w:rsidR="00EF0C45">
        <w:t xml:space="preserve"> </w:t>
      </w:r>
      <w:r w:rsidRPr="00B961DC">
        <w:t>what can arise, how and why, and using tools and techniques including workshops, brainstorming,</w:t>
      </w:r>
      <w:r w:rsidR="00EF0C45">
        <w:t xml:space="preserve"> </w:t>
      </w:r>
      <w:r w:rsidRPr="00B961DC">
        <w:t>scenario analysis and audits. Identified risks have been recorded in a risk register.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709" w:hanging="283"/>
      </w:pPr>
      <w:r w:rsidRPr="00B961DC">
        <w:t>Analysing risks by considering sources of risk, existing controls, likelihood, and consequences, to</w:t>
      </w:r>
      <w:r w:rsidR="00EF0C45">
        <w:t xml:space="preserve"> </w:t>
      </w:r>
      <w:r w:rsidRPr="00B961DC">
        <w:t>determine the levels of risk that exist.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709" w:hanging="283"/>
      </w:pPr>
      <w:r w:rsidRPr="00B961DC">
        <w:t>Evaluating risks to determine whether their level is acceptable or unacceptable, and modifying</w:t>
      </w:r>
      <w:r w:rsidR="00EF0C45">
        <w:t xml:space="preserve"> </w:t>
      </w:r>
      <w:r w:rsidRPr="00B961DC">
        <w:t>[</w:t>
      </w:r>
      <w:r w:rsidRPr="00EF0C45">
        <w:rPr>
          <w:i/>
          <w:iCs/>
        </w:rPr>
        <w:t>insert common or trading name of the SRO</w:t>
      </w:r>
      <w:r w:rsidRPr="00B961DC">
        <w:t>]’s actions to reflect changes in circumstance. This has</w:t>
      </w:r>
      <w:r w:rsidR="00EF0C45">
        <w:t xml:space="preserve"> </w:t>
      </w:r>
      <w:r w:rsidRPr="00B961DC">
        <w:t>been completed using a risk-assessment calculator. Information resulting from this step in the</w:t>
      </w:r>
      <w:r w:rsidR="00EF0C45">
        <w:t xml:space="preserve"> </w:t>
      </w:r>
      <w:r w:rsidRPr="00B961DC">
        <w:t>process has been included in a risk register.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709" w:hanging="283"/>
      </w:pPr>
      <w:r w:rsidRPr="00B961DC">
        <w:t>Treating risks by reducing, avoiding, transferring or financing them. The chosen or required</w:t>
      </w:r>
      <w:r w:rsidR="00EF0C45">
        <w:t xml:space="preserve"> </w:t>
      </w:r>
      <w:r w:rsidRPr="00B961DC">
        <w:t>treatment options are recorded in a risk register.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These steps are supported by the ongoing activities of communication, consultation, and monitoring and review.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Responsibility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who will oversee the risk management process and whether it will involve a committee. Document the current</w:t>
      </w:r>
      <w:r w:rsidR="00EF0C45">
        <w:rPr>
          <w:i/>
          <w:iCs/>
        </w:rPr>
        <w:t xml:space="preserve"> </w:t>
      </w:r>
      <w:r w:rsidRPr="00B961DC">
        <w:rPr>
          <w:i/>
          <w:iCs/>
        </w:rPr>
        <w:t>risk management expertise that is available within the organisation, such as specialist volunteers and/or selected</w:t>
      </w:r>
      <w:r w:rsidR="00EF0C45">
        <w:rPr>
          <w:i/>
          <w:iCs/>
        </w:rPr>
        <w:t xml:space="preserve"> </w:t>
      </w:r>
      <w:r w:rsidRPr="00B961DC">
        <w:rPr>
          <w:i/>
          <w:iCs/>
        </w:rPr>
        <w:t>members of the board, committees, working groups or external providers.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lastRenderedPageBreak/>
        <w:t>Refer to information sheets two and seven - Developing a risk management culture, and risk management policy</w:t>
      </w:r>
      <w:r w:rsidR="00EF0C45">
        <w:rPr>
          <w:i/>
          <w:iCs/>
        </w:rPr>
        <w:t xml:space="preserve"> </w:t>
      </w:r>
      <w:r w:rsidRPr="00B961DC">
        <w:rPr>
          <w:i/>
          <w:iCs/>
        </w:rPr>
        <w:t>template, for additional information.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some of the following statements.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EF0C45">
        <w:rPr>
          <w:i/>
          <w:iCs/>
        </w:rPr>
        <w:t>Insert common or trading name of the SRO</w:t>
      </w:r>
      <w:r w:rsidRPr="00B961DC">
        <w:t>]’s board or committee will initially oversee the</w:t>
      </w:r>
      <w:r w:rsidR="00EF0C45">
        <w:t xml:space="preserve"> </w:t>
      </w:r>
      <w:r w:rsidRPr="00B961DC">
        <w:t>risk management process and will be supported by a risk management committee.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The risk-management committee will draw on current risk-management expertise available within</w:t>
      </w:r>
      <w:r w:rsidR="00EF0C45">
        <w:t xml:space="preserve"> </w:t>
      </w:r>
      <w:r w:rsidRPr="00B961DC">
        <w:t>[</w:t>
      </w:r>
      <w:r w:rsidRPr="00EF0C45">
        <w:rPr>
          <w:i/>
          <w:iCs/>
        </w:rPr>
        <w:t>insert common or trading name of the SRO</w:t>
      </w:r>
      <w:r w:rsidRPr="00B961DC">
        <w:t>], such as specialist volunteers and selected members of the</w:t>
      </w:r>
      <w:r w:rsidR="00EF0C45">
        <w:t xml:space="preserve"> </w:t>
      </w:r>
      <w:r w:rsidRPr="00B961DC">
        <w:t>board or committee and working groups.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Ultimate responsibility for risk management is assigned to the chairperson of the board of management,</w:t>
      </w:r>
      <w:r w:rsidR="00EF0C45">
        <w:t xml:space="preserve"> </w:t>
      </w:r>
      <w:r w:rsidRPr="00B961DC">
        <w:t>but everyone is responsible and accountable for managing risks. This responsibility varies depending on</w:t>
      </w:r>
      <w:r w:rsidR="00EF0C45">
        <w:t xml:space="preserve"> </w:t>
      </w:r>
      <w:r w:rsidRPr="00B961DC">
        <w:t>their position within the organisation, their duties and knowledge.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Office bearers and those acting in an official capacity should be fully aware of their duties and</w:t>
      </w:r>
      <w:r w:rsidR="00EF0C45">
        <w:t xml:space="preserve"> </w:t>
      </w:r>
      <w:r w:rsidRPr="00B961DC">
        <w:t>responsibilities, and operate within the parameters set by duty statements, policies, and operating</w:t>
      </w:r>
      <w:r w:rsidR="00EF0C45">
        <w:t xml:space="preserve"> </w:t>
      </w:r>
      <w:r w:rsidRPr="00B961DC">
        <w:t>guidelines, all of which are designed to ensure a clear understanding of the responsibility associated</w:t>
      </w:r>
      <w:r w:rsidR="00EF0C45">
        <w:t xml:space="preserve"> </w:t>
      </w:r>
      <w:r w:rsidRPr="00B961DC">
        <w:t>with particular positions, and an understanding of risk and its management.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In most instances a risk source will be under the control of a designated staff member or office bearer</w:t>
      </w:r>
      <w:r w:rsidR="00EF0C45">
        <w:t xml:space="preserve"> </w:t>
      </w:r>
      <w:r w:rsidRPr="00B961DC">
        <w:t>who is accountable for an activity or function. In some instances, the risk may be shared by several</w:t>
      </w:r>
      <w:r w:rsidR="00EF0C45">
        <w:t xml:space="preserve"> </w:t>
      </w:r>
      <w:r w:rsidRPr="00B961DC">
        <w:t>parties (for example, an independent contractor or a neighbour). If this is the case, the relevant parties</w:t>
      </w:r>
      <w:r w:rsidR="00EF0C45">
        <w:t xml:space="preserve"> </w:t>
      </w:r>
      <w:r w:rsidRPr="00B961DC">
        <w:t>will be consulted during the risk-assessment process.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Responsibility for implementing specific control measures for each identified risk is detailed within a</w:t>
      </w:r>
      <w:r w:rsidR="00EF0C45">
        <w:t xml:space="preserve"> </w:t>
      </w:r>
      <w:r w:rsidRPr="00B961DC">
        <w:t>risk register.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Risk register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completed registers. Refer to information sheet six - Risk management in practice.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statements such as these.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EF0C45">
        <w:rPr>
          <w:i/>
          <w:iCs/>
        </w:rPr>
        <w:t>Insert common or trading name of the SRO</w:t>
      </w:r>
      <w:r w:rsidRPr="00B961DC">
        <w:t>] has developed a risk management register in order to record</w:t>
      </w:r>
      <w:r w:rsidR="00EF0C45">
        <w:t xml:space="preserve"> </w:t>
      </w:r>
      <w:r w:rsidRPr="00B961DC">
        <w:t>identified risks and controls.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Office bearers or staff members accountable for [</w:t>
      </w:r>
      <w:r w:rsidRPr="00EF0C45">
        <w:rPr>
          <w:i/>
          <w:iCs/>
        </w:rPr>
        <w:t>insert common or trading name of the SRO</w:t>
      </w:r>
      <w:r w:rsidRPr="00B961DC">
        <w:t>]’s activities</w:t>
      </w:r>
      <w:r w:rsidR="00EF0C45">
        <w:t xml:space="preserve"> </w:t>
      </w:r>
      <w:r w:rsidRPr="00B961DC">
        <w:t>document risk associated with these activities via the risk register.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The register and supporting documentation will be regularly reviewed and updated by the board of</w:t>
      </w:r>
      <w:r w:rsidR="00EF0C45">
        <w:t xml:space="preserve"> </w:t>
      </w:r>
      <w:r w:rsidRPr="00B961DC">
        <w:t>management, to ensure identified risks are managed and that necessary risk treatments are addressed</w:t>
      </w:r>
      <w:r w:rsidR="00EF0C45">
        <w:t xml:space="preserve"> </w:t>
      </w:r>
      <w:r w:rsidRPr="00B961DC">
        <w:t>and updated.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The register sets out the risk management plan for all identified risk areas and includes control options</w:t>
      </w:r>
      <w:r w:rsidR="00EF0C45">
        <w:t xml:space="preserve"> </w:t>
      </w:r>
      <w:r w:rsidRPr="00B961DC">
        <w:t>and progress updates.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Communication policy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communication plans and/or mechanisms in relation to SRO risk management plans and processes. Refer to</w:t>
      </w:r>
      <w:r w:rsidR="00EF0C45">
        <w:rPr>
          <w:i/>
          <w:iCs/>
        </w:rPr>
        <w:t xml:space="preserve"> </w:t>
      </w:r>
      <w:r w:rsidRPr="00B961DC">
        <w:rPr>
          <w:i/>
          <w:iCs/>
        </w:rPr>
        <w:t>information sheets two and six - Risk management culture, and Risk management in practice.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lastRenderedPageBreak/>
        <w:t>Consider employing statements such as the following.</w:t>
      </w:r>
    </w:p>
    <w:p w:rsidR="00B961DC" w:rsidRPr="00EF0C45" w:rsidRDefault="00B961DC" w:rsidP="00EF0C45">
      <w:pPr>
        <w:pStyle w:val="ListParagraph"/>
        <w:numPr>
          <w:ilvl w:val="0"/>
          <w:numId w:val="2"/>
        </w:numPr>
        <w:ind w:left="426" w:hanging="426"/>
        <w:rPr>
          <w:i/>
          <w:iCs/>
        </w:rPr>
      </w:pPr>
      <w:r w:rsidRPr="00B961DC">
        <w:t>Effective communication is crucial to the risk management plan. [</w:t>
      </w:r>
      <w:r w:rsidRPr="00EF0C45">
        <w:rPr>
          <w:i/>
          <w:iCs/>
        </w:rPr>
        <w:t>Insert common or trading name of the</w:t>
      </w:r>
      <w:r w:rsidR="00EF0C45" w:rsidRPr="00EF0C45">
        <w:rPr>
          <w:i/>
          <w:iCs/>
        </w:rPr>
        <w:t xml:space="preserve"> </w:t>
      </w:r>
      <w:r w:rsidRPr="00EF0C45">
        <w:rPr>
          <w:i/>
          <w:iCs/>
        </w:rPr>
        <w:t>SRO</w:t>
      </w:r>
      <w:r w:rsidRPr="00B961DC">
        <w:t>] will clearly communicate its risk management plans with stakeholders.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Clearly explaining what [</w:t>
      </w:r>
      <w:r w:rsidRPr="00EF0C45">
        <w:rPr>
          <w:i/>
          <w:iCs/>
        </w:rPr>
        <w:t>insert common or trading name of the SRO</w:t>
      </w:r>
      <w:r w:rsidRPr="00B961DC">
        <w:t>] is doing from a risk management</w:t>
      </w:r>
      <w:r w:rsidR="00EF0C45">
        <w:t xml:space="preserve"> </w:t>
      </w:r>
      <w:r w:rsidRPr="00B961DC">
        <w:t>perspective and why it is doing it will improve the understanding of members and stakeholders about</w:t>
      </w:r>
      <w:r w:rsidR="00EF0C45">
        <w:t xml:space="preserve"> </w:t>
      </w:r>
      <w:r w:rsidRPr="00B961DC">
        <w:t>the benefits of risk management. It will also hopefully ensure that that understanding is comprehensive</w:t>
      </w:r>
      <w:r w:rsidR="00EF0C45">
        <w:t xml:space="preserve"> </w:t>
      </w:r>
      <w:r w:rsidRPr="00B961DC">
        <w:t>and current. This will strengthen the environment within [</w:t>
      </w:r>
      <w:r w:rsidRPr="00EF0C45">
        <w:rPr>
          <w:i/>
          <w:iCs/>
        </w:rPr>
        <w:t>insert common or trading name of the SRO</w:t>
      </w:r>
      <w:r w:rsidRPr="00B961DC">
        <w:t>] and</w:t>
      </w:r>
      <w:r w:rsidR="00EF0C45">
        <w:t xml:space="preserve"> </w:t>
      </w:r>
      <w:r w:rsidRPr="00B961DC">
        <w:t>encourage it to take a risk management approach to normal activities.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Sound two-way communication is critical at all stages of the risk management process and is necessary</w:t>
      </w:r>
      <w:r w:rsidR="00EF0C45">
        <w:t xml:space="preserve"> </w:t>
      </w:r>
      <w:r w:rsidRPr="00B961DC">
        <w:t>to gather the best possible information to identify and assess the risk and determine the best</w:t>
      </w:r>
      <w:r w:rsidR="00EF0C45">
        <w:t xml:space="preserve"> </w:t>
      </w:r>
      <w:r w:rsidRPr="00B961DC">
        <w:t>treatment. Systems will be developed to ensure good communication.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Mechanisms will be formalised to ensure they occur and will involve strategies such as: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communicating [</w:t>
      </w:r>
      <w:r w:rsidRPr="00EF0C45">
        <w:rPr>
          <w:i/>
          <w:iCs/>
        </w:rPr>
        <w:t>insert common or trading name of the SRO</w:t>
      </w:r>
      <w:r w:rsidRPr="00B961DC">
        <w:t>]’s risk management plan internally via a</w:t>
      </w:r>
      <w:r w:rsidR="00EF0C45">
        <w:t xml:space="preserve"> </w:t>
      </w:r>
      <w:r w:rsidRPr="00B961DC">
        <w:t>noticeboard, newsletter or website</w:t>
      </w:r>
    </w:p>
    <w:p w:rsidR="00B961DC" w:rsidRPr="00EF0C45" w:rsidRDefault="00B961DC" w:rsidP="00EF0C45">
      <w:pPr>
        <w:pStyle w:val="ListParagraph"/>
        <w:numPr>
          <w:ilvl w:val="0"/>
          <w:numId w:val="2"/>
        </w:numPr>
        <w:rPr>
          <w:i/>
          <w:iCs/>
        </w:rPr>
      </w:pPr>
      <w:r w:rsidRPr="00B961DC">
        <w:t>positioning posters or information sheets promoting safety in and around [</w:t>
      </w:r>
      <w:r w:rsidRPr="00EF0C45">
        <w:rPr>
          <w:i/>
          <w:iCs/>
        </w:rPr>
        <w:t>insert common or trading</w:t>
      </w:r>
      <w:r w:rsidR="00EF0C45" w:rsidRPr="00EF0C45">
        <w:rPr>
          <w:i/>
          <w:iCs/>
        </w:rPr>
        <w:t xml:space="preserve"> </w:t>
      </w:r>
      <w:r w:rsidRPr="00EF0C45">
        <w:rPr>
          <w:i/>
          <w:iCs/>
        </w:rPr>
        <w:t>name of the SRO</w:t>
      </w:r>
      <w:r w:rsidRPr="00B961DC">
        <w:t>]’s facility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advertising safety initiatives within [</w:t>
      </w:r>
      <w:r w:rsidRPr="00EF0C45">
        <w:rPr>
          <w:i/>
          <w:iCs/>
        </w:rPr>
        <w:t>insert common or trading name of the SRO</w:t>
      </w:r>
      <w:r w:rsidRPr="00B961DC">
        <w:t>] via its</w:t>
      </w:r>
      <w:r w:rsidR="00EF0C45">
        <w:t xml:space="preserve"> </w:t>
      </w:r>
      <w:r w:rsidRPr="00B961DC">
        <w:t>internal-communication systems or externally via the media</w:t>
      </w:r>
    </w:p>
    <w:p w:rsidR="00B961DC" w:rsidRPr="00EF0C45" w:rsidRDefault="00B961DC" w:rsidP="00EF0C45">
      <w:pPr>
        <w:pStyle w:val="ListParagraph"/>
        <w:numPr>
          <w:ilvl w:val="0"/>
          <w:numId w:val="2"/>
        </w:numPr>
        <w:rPr>
          <w:i/>
          <w:iCs/>
        </w:rPr>
      </w:pPr>
      <w:r w:rsidRPr="00B961DC">
        <w:t>providing new or prospective members with information about [</w:t>
      </w:r>
      <w:r w:rsidRPr="00EF0C45">
        <w:rPr>
          <w:i/>
          <w:iCs/>
        </w:rPr>
        <w:t>insert common or trading name of the</w:t>
      </w:r>
      <w:r w:rsidR="00EF0C45" w:rsidRPr="00EF0C45">
        <w:rPr>
          <w:i/>
          <w:iCs/>
        </w:rPr>
        <w:t xml:space="preserve"> </w:t>
      </w:r>
      <w:r w:rsidRPr="00EF0C45">
        <w:rPr>
          <w:i/>
          <w:iCs/>
        </w:rPr>
        <w:t>SRO</w:t>
      </w:r>
      <w:r w:rsidRPr="00B961DC">
        <w:t>]’s commitment to safety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proofErr w:type="gramStart"/>
      <w:r w:rsidRPr="00B961DC">
        <w:t>offering</w:t>
      </w:r>
      <w:proofErr w:type="gramEnd"/>
      <w:r w:rsidRPr="00B961DC">
        <w:t xml:space="preserve"> a reward and recognition program that encourages improvements in safety among those</w:t>
      </w:r>
      <w:r w:rsidR="00EF0C45">
        <w:t xml:space="preserve"> </w:t>
      </w:r>
      <w:r w:rsidRPr="00B961DC">
        <w:t>most directly involved.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proofErr w:type="gramStart"/>
      <w:r w:rsidRPr="00B961DC">
        <w:t>regularly</w:t>
      </w:r>
      <w:proofErr w:type="gramEnd"/>
      <w:r w:rsidRPr="00B961DC">
        <w:t xml:space="preserve"> reporting on the progress of the management of risk at board of management meetings.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To facilitate communication, [</w:t>
      </w:r>
      <w:r w:rsidRPr="00EF0C45">
        <w:rPr>
          <w:i/>
          <w:iCs/>
        </w:rPr>
        <w:t>insert common or trading name of the SRO</w:t>
      </w:r>
      <w:r w:rsidRPr="00B961DC">
        <w:t>] will: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support all verbal instruction with written communication, and vice versa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maintain a risk register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retain supporting documentation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regularly review the risk register and supporting documentation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proofErr w:type="gramStart"/>
      <w:r w:rsidRPr="00B961DC">
        <w:t>communicate</w:t>
      </w:r>
      <w:proofErr w:type="gramEnd"/>
      <w:r w:rsidRPr="00B961DC">
        <w:t xml:space="preserve"> and consult with all parties involved.</w:t>
      </w:r>
    </w:p>
    <w:p w:rsidR="00B961DC" w:rsidRPr="00B961DC" w:rsidRDefault="00B961DC" w:rsidP="00B961DC">
      <w:pPr>
        <w:rPr>
          <w:b/>
          <w:bCs/>
        </w:rPr>
      </w:pPr>
      <w:r w:rsidRPr="00B961DC">
        <w:rPr>
          <w:b/>
          <w:bCs/>
        </w:rPr>
        <w:t>Monitoring, reviewing and reporting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Insert a list of strategies for monitoring, reviewing and reporting the management of risk. Refer to information sheet</w:t>
      </w:r>
      <w:r w:rsidR="00EF0C45">
        <w:rPr>
          <w:i/>
          <w:iCs/>
        </w:rPr>
        <w:t xml:space="preserve"> </w:t>
      </w:r>
      <w:r w:rsidRPr="00B961DC">
        <w:rPr>
          <w:i/>
          <w:iCs/>
        </w:rPr>
        <w:t>six – Risk management in practice.</w:t>
      </w:r>
    </w:p>
    <w:p w:rsidR="00B961DC" w:rsidRPr="00B961DC" w:rsidRDefault="00B961DC" w:rsidP="00B961DC">
      <w:pPr>
        <w:rPr>
          <w:i/>
          <w:iCs/>
        </w:rPr>
      </w:pPr>
      <w:r w:rsidRPr="00B961DC">
        <w:rPr>
          <w:i/>
          <w:iCs/>
        </w:rPr>
        <w:t>Consider employing statements such as these below.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The goals, programs and processes of [</w:t>
      </w:r>
      <w:r w:rsidRPr="00EF0C45">
        <w:rPr>
          <w:i/>
          <w:iCs/>
        </w:rPr>
        <w:t>insert common or trading name of the SRO</w:t>
      </w:r>
      <w:r w:rsidRPr="00B961DC">
        <w:t>] can change, as can the</w:t>
      </w:r>
      <w:r w:rsidR="00EF0C45">
        <w:t xml:space="preserve"> </w:t>
      </w:r>
      <w:r w:rsidRPr="00B961DC">
        <w:t>political, social and legal environment. The internal and external risk context needs to be re-examined</w:t>
      </w:r>
      <w:r w:rsidR="00EF0C45">
        <w:t xml:space="preserve"> </w:t>
      </w:r>
      <w:r w:rsidRPr="00B961DC">
        <w:t>regularly to ensure the ways in which risks are managed remain valid.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Monitoring and review is essential. The plans and associated documentation including the risk register</w:t>
      </w:r>
      <w:r w:rsidR="00EF0C45">
        <w:t xml:space="preserve"> </w:t>
      </w:r>
      <w:r w:rsidRPr="00B961DC">
        <w:t>will be constantly reviewed, to ensure any necessary risk treatments are addressed and updated.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lastRenderedPageBreak/>
        <w:t>Monitoring and review will assist with identifying trends, trouble spots and other changes with</w:t>
      </w:r>
      <w:r w:rsidR="00EF0C45">
        <w:t xml:space="preserve"> </w:t>
      </w:r>
      <w:r w:rsidRPr="00B961DC">
        <w:t>implications for [</w:t>
      </w:r>
      <w:r w:rsidRPr="00EF0C45">
        <w:rPr>
          <w:i/>
          <w:iCs/>
        </w:rPr>
        <w:t>insert common or trading name of the SRO</w:t>
      </w:r>
      <w:r w:rsidRPr="00B961DC">
        <w:t>], and ensure that risk management continues</w:t>
      </w:r>
      <w:r w:rsidR="00EF0C45">
        <w:t xml:space="preserve"> </w:t>
      </w:r>
      <w:r w:rsidRPr="00B961DC">
        <w:t>to be effective. It helps respond to changes that occur within or outside [</w:t>
      </w:r>
      <w:r w:rsidRPr="00EF0C45">
        <w:rPr>
          <w:i/>
          <w:iCs/>
        </w:rPr>
        <w:t>insert common or trading name</w:t>
      </w:r>
      <w:r w:rsidR="00EF0C45">
        <w:t xml:space="preserve"> </w:t>
      </w:r>
      <w:r w:rsidRPr="00EF0C45">
        <w:rPr>
          <w:i/>
          <w:iCs/>
        </w:rPr>
        <w:t>of the SRO</w:t>
      </w:r>
      <w:r w:rsidRPr="00B961DC">
        <w:t>].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Monitoring requires ongoing assessment of measures that have been put in place to treat risks. Any</w:t>
      </w:r>
      <w:r w:rsidR="00EF0C45">
        <w:t xml:space="preserve"> </w:t>
      </w:r>
      <w:r w:rsidRPr="00B961DC">
        <w:t>indication that these measures are not effective is reason for immediate attention to remedy the</w:t>
      </w:r>
      <w:r w:rsidR="00EF0C45">
        <w:t xml:space="preserve"> </w:t>
      </w:r>
      <w:r w:rsidRPr="00B961DC">
        <w:t>situation. Risks need to be monitored regularly to ensure changing circumstances do not alter the risk</w:t>
      </w:r>
      <w:r w:rsidR="00EF0C45">
        <w:t xml:space="preserve"> </w:t>
      </w:r>
      <w:r w:rsidRPr="00B961DC">
        <w:t>priorities.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EF0C45">
        <w:rPr>
          <w:i/>
          <w:iCs/>
        </w:rPr>
        <w:t>Insert common or trading name of the SRO</w:t>
      </w:r>
      <w:r w:rsidRPr="00B961DC">
        <w:t>] will employ reviews of its risk management as a periodic</w:t>
      </w:r>
      <w:r w:rsidR="00EF0C45">
        <w:t xml:space="preserve"> </w:t>
      </w:r>
      <w:r w:rsidRPr="00B961DC">
        <w:t>process, designed to consciously find out if systems, processes, and measures are implemented and if</w:t>
      </w:r>
      <w:r w:rsidR="00EF0C45">
        <w:t xml:space="preserve"> </w:t>
      </w:r>
      <w:r w:rsidRPr="00B961DC">
        <w:t>they are effective. These reviews will be scheduled on a quarterly basis as a matter of good practice,</w:t>
      </w:r>
      <w:r w:rsidR="00EF0C45">
        <w:t xml:space="preserve"> </w:t>
      </w:r>
      <w:r w:rsidRPr="00B961DC">
        <w:t>but risk management will be a standing agenda item at [</w:t>
      </w:r>
      <w:r w:rsidRPr="00EF0C45">
        <w:rPr>
          <w:i/>
          <w:iCs/>
        </w:rPr>
        <w:t>insert common or trading name of the SRO</w:t>
      </w:r>
      <w:r w:rsidRPr="00B961DC">
        <w:t>] board</w:t>
      </w:r>
      <w:r w:rsidR="00EF0C45">
        <w:t xml:space="preserve"> </w:t>
      </w:r>
      <w:r w:rsidRPr="00B961DC">
        <w:t>meetings.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The following will be used for the purposes of monitoring and review.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Internal or external audits (by independent persons or persons with significant experience within</w:t>
      </w:r>
      <w:r w:rsidR="00EF0C45">
        <w:t xml:space="preserve"> </w:t>
      </w:r>
      <w:r w:rsidRPr="00B961DC">
        <w:t>and knowledge of the organisation) of key areas such as financial management, occupational health</w:t>
      </w:r>
      <w:r w:rsidR="00EF0C45">
        <w:t xml:space="preserve"> </w:t>
      </w:r>
      <w:r w:rsidRPr="00B961DC">
        <w:t>and safety, people and compliance.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Audits involving physical inspections of assets, including facilities and playing surfaces.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Evaluations of the programs and services offered.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</w:pPr>
      <w:r w:rsidRPr="00B961DC">
        <w:t>Reviews of organisational policies, strategies and processes.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If a risk has eventuated, it is expected that the risk will have been treated in accordance with the</w:t>
      </w:r>
      <w:r w:rsidR="00EF0C45">
        <w:t xml:space="preserve"> </w:t>
      </w:r>
      <w:r w:rsidRPr="00B961DC">
        <w:t>risk management plan. The risk and its treatment will be reported.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All risk management processes, including treatments will be recorded to confirm the actions taken</w:t>
      </w:r>
      <w:r w:rsidR="00EF0C45">
        <w:t xml:space="preserve"> </w:t>
      </w:r>
      <w:r w:rsidRPr="00B961DC">
        <w:t>under the risk management plan. If any variation is required to the risk management plan, it will again</w:t>
      </w:r>
      <w:r w:rsidR="00EF0C45">
        <w:t xml:space="preserve"> </w:t>
      </w:r>
      <w:r w:rsidRPr="00B961DC">
        <w:t>be recorded.</w:t>
      </w:r>
    </w:p>
    <w:p w:rsidR="00B961DC" w:rsidRPr="00B961DC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A review of [</w:t>
      </w:r>
      <w:r w:rsidRPr="00EF0C45">
        <w:rPr>
          <w:i/>
          <w:iCs/>
        </w:rPr>
        <w:t>insert common or trading name of the SRO</w:t>
      </w:r>
      <w:r w:rsidRPr="00B961DC">
        <w:t>]’s risk management plan will be undertaken at</w:t>
      </w:r>
      <w:r w:rsidR="00EF0C45">
        <w:t xml:space="preserve"> </w:t>
      </w:r>
      <w:r w:rsidRPr="00B961DC">
        <w:t>regular intervals.</w:t>
      </w:r>
    </w:p>
    <w:p w:rsidR="00710B50" w:rsidRDefault="00B961DC" w:rsidP="00EF0C45">
      <w:pPr>
        <w:pStyle w:val="ListParagraph"/>
        <w:numPr>
          <w:ilvl w:val="0"/>
          <w:numId w:val="2"/>
        </w:numPr>
        <w:ind w:left="426" w:hanging="426"/>
      </w:pPr>
      <w:r w:rsidRPr="00B961DC">
        <w:t>[</w:t>
      </w:r>
      <w:r w:rsidRPr="00EF0C45">
        <w:rPr>
          <w:i/>
          <w:iCs/>
        </w:rPr>
        <w:t>Insert common or trading name of the SRO</w:t>
      </w:r>
      <w:r w:rsidRPr="00B961DC">
        <w:t>] will provide reports to stakeholders if requested on the</w:t>
      </w:r>
      <w:r w:rsidR="00EF0C45">
        <w:t xml:space="preserve"> </w:t>
      </w:r>
      <w:r w:rsidRPr="00B961DC">
        <w:t>implementation and monitorin</w:t>
      </w:r>
      <w:bookmarkStart w:id="0" w:name="_GoBack"/>
      <w:bookmarkEnd w:id="0"/>
      <w:r w:rsidRPr="00B961DC">
        <w:t>g of risk management plans, including treatments.</w:t>
      </w:r>
    </w:p>
    <w:sectPr w:rsidR="00710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1C5"/>
    <w:multiLevelType w:val="hybridMultilevel"/>
    <w:tmpl w:val="07823FB4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395B"/>
    <w:multiLevelType w:val="hybridMultilevel"/>
    <w:tmpl w:val="1100962A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2B8D"/>
    <w:multiLevelType w:val="hybridMultilevel"/>
    <w:tmpl w:val="E2743402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574A"/>
    <w:multiLevelType w:val="hybridMultilevel"/>
    <w:tmpl w:val="E0C6C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2F5C"/>
    <w:multiLevelType w:val="hybridMultilevel"/>
    <w:tmpl w:val="508ED6E2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10CD"/>
    <w:multiLevelType w:val="hybridMultilevel"/>
    <w:tmpl w:val="9228B4AE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B0B58"/>
    <w:multiLevelType w:val="hybridMultilevel"/>
    <w:tmpl w:val="B234FC22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B78D6"/>
    <w:multiLevelType w:val="hybridMultilevel"/>
    <w:tmpl w:val="F97CA634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517EC"/>
    <w:multiLevelType w:val="hybridMultilevel"/>
    <w:tmpl w:val="EE90C6FA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471"/>
    <w:multiLevelType w:val="hybridMultilevel"/>
    <w:tmpl w:val="090682F2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97DE2"/>
    <w:multiLevelType w:val="hybridMultilevel"/>
    <w:tmpl w:val="3BC2FAF8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71A0B"/>
    <w:multiLevelType w:val="hybridMultilevel"/>
    <w:tmpl w:val="19F64AB0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51E53"/>
    <w:multiLevelType w:val="hybridMultilevel"/>
    <w:tmpl w:val="01A47030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22520"/>
    <w:multiLevelType w:val="hybridMultilevel"/>
    <w:tmpl w:val="0234D64A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12BFA"/>
    <w:multiLevelType w:val="hybridMultilevel"/>
    <w:tmpl w:val="8FECF880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C4ECA"/>
    <w:multiLevelType w:val="hybridMultilevel"/>
    <w:tmpl w:val="B9BA8C90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105F2"/>
    <w:multiLevelType w:val="hybridMultilevel"/>
    <w:tmpl w:val="7DE409FA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C24EE"/>
    <w:multiLevelType w:val="hybridMultilevel"/>
    <w:tmpl w:val="E0FA7EC2"/>
    <w:lvl w:ilvl="0" w:tplc="088061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16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C"/>
    <w:rsid w:val="00710B50"/>
    <w:rsid w:val="00B961DC"/>
    <w:rsid w:val="00E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Chiu</dc:creator>
  <cp:lastModifiedBy>Luke Chiu</cp:lastModifiedBy>
  <cp:revision>1</cp:revision>
  <dcterms:created xsi:type="dcterms:W3CDTF">2013-01-18T05:28:00Z</dcterms:created>
  <dcterms:modified xsi:type="dcterms:W3CDTF">2013-01-18T05:46:00Z</dcterms:modified>
</cp:coreProperties>
</file>