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895D" w14:textId="5703DD2A" w:rsidR="0079566E" w:rsidRPr="00D6745D" w:rsidRDefault="0079566E" w:rsidP="00D6745D">
      <w:pPr>
        <w:pStyle w:val="Heading1"/>
        <w:rPr>
          <w:rFonts w:ascii="Arial" w:hAnsi="Arial" w:cs="Arial"/>
          <w:b/>
          <w:bCs/>
          <w:color w:val="auto"/>
          <w:sz w:val="36"/>
          <w:szCs w:val="36"/>
        </w:rPr>
      </w:pPr>
      <w:r w:rsidRPr="00D6745D">
        <w:rPr>
          <w:rFonts w:ascii="Arial" w:hAnsi="Arial" w:cs="Arial"/>
          <w:b/>
          <w:bCs/>
          <w:color w:val="auto"/>
          <w:sz w:val="36"/>
          <w:szCs w:val="36"/>
        </w:rPr>
        <w:t>Board Meeting Agenda</w:t>
      </w:r>
    </w:p>
    <w:p w14:paraId="57C5C5FA" w14:textId="39633A8B" w:rsidR="0079566E" w:rsidRDefault="0079566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35F"/>
          <w:sz w:val="20"/>
          <w:szCs w:val="20"/>
        </w:rPr>
      </w:pPr>
    </w:p>
    <w:p w14:paraId="2EC9AE6E" w14:textId="14DCD82D" w:rsidR="0046602B" w:rsidRPr="00CA6571" w:rsidRDefault="009727AD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A6571">
        <w:rPr>
          <w:rFonts w:ascii="Arial" w:hAnsi="Arial" w:cs="Arial"/>
          <w:i/>
          <w:iCs/>
        </w:rPr>
        <w:t>The purpose of a board meeting agenda is to improve the effectiveness of board meetings.</w:t>
      </w:r>
      <w:r w:rsidR="001E4D9E" w:rsidRPr="00CA6571">
        <w:rPr>
          <w:rFonts w:ascii="Arial" w:hAnsi="Arial" w:cs="Arial"/>
          <w:i/>
          <w:iCs/>
        </w:rPr>
        <w:t xml:space="preserve"> It is the tool the chair uses to keep boardroom discussions focused.</w:t>
      </w:r>
      <w:r w:rsidR="00322004">
        <w:rPr>
          <w:rFonts w:ascii="Arial" w:hAnsi="Arial" w:cs="Arial"/>
          <w:i/>
          <w:iCs/>
        </w:rPr>
        <w:t xml:space="preserve"> </w:t>
      </w:r>
      <w:r w:rsidR="001E4D9E" w:rsidRPr="00CA6571">
        <w:rPr>
          <w:rFonts w:ascii="Arial" w:hAnsi="Arial" w:cs="Arial"/>
          <w:i/>
          <w:iCs/>
        </w:rPr>
        <w:t>Although each board will have an agenda that reflects specific topics of relevance to a</w:t>
      </w:r>
      <w:r w:rsidR="00C34115" w:rsidRPr="00CA6571">
        <w:rPr>
          <w:rFonts w:ascii="Arial" w:hAnsi="Arial" w:cs="Arial"/>
          <w:i/>
          <w:iCs/>
        </w:rPr>
        <w:t xml:space="preserve">n organisation </w:t>
      </w:r>
      <w:r w:rsidR="001E4D9E" w:rsidRPr="00CA6571">
        <w:rPr>
          <w:rFonts w:ascii="Arial" w:hAnsi="Arial" w:cs="Arial"/>
          <w:i/>
          <w:iCs/>
        </w:rPr>
        <w:t xml:space="preserve">at that time, </w:t>
      </w:r>
      <w:r w:rsidR="00C34115" w:rsidRPr="00CA6571">
        <w:rPr>
          <w:rFonts w:ascii="Arial" w:hAnsi="Arial" w:cs="Arial"/>
          <w:i/>
          <w:iCs/>
        </w:rPr>
        <w:t>several</w:t>
      </w:r>
      <w:r w:rsidR="001E4D9E" w:rsidRPr="00CA6571">
        <w:rPr>
          <w:rFonts w:ascii="Arial" w:hAnsi="Arial" w:cs="Arial"/>
          <w:i/>
          <w:iCs/>
        </w:rPr>
        <w:t xml:space="preserve"> general items will be included on most agendas.</w:t>
      </w:r>
      <w:r w:rsidR="00322004">
        <w:rPr>
          <w:rFonts w:ascii="Arial" w:hAnsi="Arial" w:cs="Arial"/>
          <w:i/>
          <w:iCs/>
        </w:rPr>
        <w:t xml:space="preserve"> </w:t>
      </w:r>
      <w:r w:rsidR="00C34115" w:rsidRPr="00CA6571">
        <w:rPr>
          <w:rFonts w:ascii="Arial" w:hAnsi="Arial" w:cs="Arial"/>
          <w:i/>
          <w:iCs/>
        </w:rPr>
        <w:t>This template is</w:t>
      </w:r>
      <w:r w:rsidR="0046602B" w:rsidRPr="00CA6571">
        <w:rPr>
          <w:rFonts w:ascii="Arial" w:hAnsi="Arial" w:cs="Arial"/>
          <w:i/>
          <w:iCs/>
        </w:rPr>
        <w:t xml:space="preserve"> suggestive of the sorts of matters that may be </w:t>
      </w:r>
      <w:r w:rsidR="00C34115" w:rsidRPr="00CA6571">
        <w:rPr>
          <w:rFonts w:ascii="Arial" w:hAnsi="Arial" w:cs="Arial"/>
          <w:i/>
          <w:iCs/>
        </w:rPr>
        <w:t>included but</w:t>
      </w:r>
      <w:r w:rsidR="0046602B" w:rsidRPr="00CA6571">
        <w:rPr>
          <w:rFonts w:ascii="Arial" w:hAnsi="Arial" w:cs="Arial"/>
          <w:i/>
          <w:iCs/>
        </w:rPr>
        <w:t xml:space="preserve"> should</w:t>
      </w:r>
      <w:r w:rsidR="00CA6571">
        <w:rPr>
          <w:rFonts w:ascii="Arial" w:hAnsi="Arial" w:cs="Arial"/>
          <w:i/>
          <w:iCs/>
        </w:rPr>
        <w:t xml:space="preserve"> no</w:t>
      </w:r>
      <w:r w:rsidR="0046602B" w:rsidRPr="00CA6571">
        <w:rPr>
          <w:rFonts w:ascii="Arial" w:hAnsi="Arial" w:cs="Arial"/>
          <w:i/>
          <w:iCs/>
        </w:rPr>
        <w:t xml:space="preserve">t </w:t>
      </w:r>
      <w:proofErr w:type="gramStart"/>
      <w:r w:rsidR="0046602B" w:rsidRPr="00CA6571">
        <w:rPr>
          <w:rFonts w:ascii="Arial" w:hAnsi="Arial" w:cs="Arial"/>
          <w:i/>
          <w:iCs/>
        </w:rPr>
        <w:t>be seen as</w:t>
      </w:r>
      <w:proofErr w:type="gramEnd"/>
      <w:r w:rsidR="0046602B" w:rsidRPr="00CA6571">
        <w:rPr>
          <w:rFonts w:ascii="Arial" w:hAnsi="Arial" w:cs="Arial"/>
          <w:i/>
          <w:iCs/>
        </w:rPr>
        <w:t xml:space="preserve"> required or exhaustive</w:t>
      </w:r>
      <w:r w:rsidR="00C34115" w:rsidRPr="00CA6571">
        <w:rPr>
          <w:rFonts w:ascii="Arial" w:hAnsi="Arial" w:cs="Arial"/>
          <w:i/>
          <w:iCs/>
        </w:rPr>
        <w:t>.</w:t>
      </w:r>
    </w:p>
    <w:p w14:paraId="3FA93287" w14:textId="3952BF4B" w:rsidR="0046602B" w:rsidRPr="00CA6571" w:rsidRDefault="0046602B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6817AFC" w14:textId="77777777" w:rsidR="00C34115" w:rsidRDefault="00C34115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35F"/>
          <w:sz w:val="20"/>
          <w:szCs w:val="20"/>
        </w:rPr>
      </w:pPr>
    </w:p>
    <w:p w14:paraId="075F1CDC" w14:textId="02A750E9" w:rsidR="00E366EE" w:rsidRPr="00D75D6B" w:rsidRDefault="00E366E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5D6B">
        <w:rPr>
          <w:rFonts w:ascii="Arial" w:hAnsi="Arial" w:cs="Arial"/>
          <w:b/>
          <w:bCs/>
          <w:sz w:val="20"/>
          <w:szCs w:val="20"/>
        </w:rPr>
        <w:t xml:space="preserve">Name of </w:t>
      </w:r>
      <w:r w:rsidR="0009460E" w:rsidRPr="00D75D6B">
        <w:rPr>
          <w:rFonts w:ascii="Arial" w:hAnsi="Arial" w:cs="Arial"/>
          <w:b/>
          <w:bCs/>
          <w:sz w:val="20"/>
          <w:szCs w:val="20"/>
        </w:rPr>
        <w:t>sporting organisation</w:t>
      </w:r>
    </w:p>
    <w:p w14:paraId="27F26FC8" w14:textId="67D7AF78" w:rsidR="00E366EE" w:rsidRPr="00D75D6B" w:rsidRDefault="00E366E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5D6B">
        <w:rPr>
          <w:rFonts w:ascii="Arial" w:hAnsi="Arial" w:cs="Arial"/>
          <w:sz w:val="20"/>
          <w:szCs w:val="20"/>
        </w:rPr>
        <w:t>date and time</w:t>
      </w:r>
    </w:p>
    <w:p w14:paraId="1AB700EF" w14:textId="58736A9B" w:rsidR="00E366EE" w:rsidRPr="00D75D6B" w:rsidRDefault="00E366E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5D6B">
        <w:rPr>
          <w:rFonts w:ascii="Arial" w:hAnsi="Arial" w:cs="Arial"/>
          <w:sz w:val="20"/>
          <w:szCs w:val="20"/>
        </w:rPr>
        <w:t>location</w:t>
      </w:r>
    </w:p>
    <w:p w14:paraId="79AB89EB" w14:textId="77777777" w:rsidR="00E366EE" w:rsidRDefault="00E366EE" w:rsidP="00E366EE">
      <w:pPr>
        <w:autoSpaceDE w:val="0"/>
        <w:autoSpaceDN w:val="0"/>
        <w:adjustRightInd w:val="0"/>
        <w:spacing w:after="0" w:line="240" w:lineRule="auto"/>
        <w:rPr>
          <w:rFonts w:ascii="FoundryFormSerif-Bold" w:hAnsi="FoundryFormSerif-Bold" w:cs="FoundryFormSerif-Bold"/>
          <w:b/>
          <w:bCs/>
          <w:color w:val="FFFFFF"/>
          <w:sz w:val="20"/>
          <w:szCs w:val="20"/>
        </w:rPr>
      </w:pPr>
      <w:r>
        <w:rPr>
          <w:rFonts w:ascii="FoundryFormSerif-Bold" w:hAnsi="FoundryFormSerif-Bold" w:cs="FoundryFormSerif-Bold"/>
          <w:b/>
          <w:bCs/>
          <w:color w:val="FFFFFF"/>
          <w:sz w:val="20"/>
          <w:szCs w:val="20"/>
        </w:rPr>
        <w:t>No Item Estimated Time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6"/>
        <w:gridCol w:w="5519"/>
        <w:gridCol w:w="1340"/>
        <w:gridCol w:w="1586"/>
      </w:tblGrid>
      <w:tr w:rsidR="007148F0" w:rsidRPr="0085701A" w14:paraId="3F1BCF21" w14:textId="77777777" w:rsidTr="007148F0">
        <w:tc>
          <w:tcPr>
            <w:tcW w:w="576" w:type="dxa"/>
            <w:shd w:val="clear" w:color="auto" w:fill="D9D9D9" w:themeFill="background1" w:themeFillShade="D9"/>
          </w:tcPr>
          <w:p w14:paraId="44D6E5F2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19" w:type="dxa"/>
            <w:shd w:val="clear" w:color="auto" w:fill="D9D9D9" w:themeFill="background1" w:themeFillShade="D9"/>
          </w:tcPr>
          <w:p w14:paraId="03404C36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38E48C0E" w14:textId="5DE1D230" w:rsidR="007148F0" w:rsidRDefault="007D2F11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Attachment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4B8582E" w14:textId="475BB0EA" w:rsidR="007148F0" w:rsidRPr="0085701A" w:rsidRDefault="0009460E" w:rsidP="00AB52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Speaker</w:t>
            </w:r>
          </w:p>
        </w:tc>
      </w:tr>
      <w:tr w:rsidR="007148F0" w:rsidRPr="0085701A" w14:paraId="0F1F3218" w14:textId="77777777" w:rsidTr="007148F0">
        <w:tc>
          <w:tcPr>
            <w:tcW w:w="576" w:type="dxa"/>
          </w:tcPr>
          <w:p w14:paraId="28E5FD7B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1A3A1F05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Meeting opening</w:t>
            </w: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340" w:type="dxa"/>
          </w:tcPr>
          <w:p w14:paraId="3B919D3D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2C4B34C" w14:textId="239EEA6D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4557582E" w14:textId="77777777" w:rsidTr="007148F0">
        <w:tc>
          <w:tcPr>
            <w:tcW w:w="576" w:type="dxa"/>
          </w:tcPr>
          <w:p w14:paraId="3AD18122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1253DAF5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340" w:type="dxa"/>
          </w:tcPr>
          <w:p w14:paraId="0ED5C49D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3603A82B" w14:textId="7974BF24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3A88EC5B" w14:textId="77777777" w:rsidTr="007148F0">
        <w:tc>
          <w:tcPr>
            <w:tcW w:w="576" w:type="dxa"/>
          </w:tcPr>
          <w:p w14:paraId="42DEBF64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66141A2" w14:textId="059FEFB9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 xml:space="preserve">Director conflict of interest </w:t>
            </w:r>
            <w:r w:rsidR="005A43A7">
              <w:rPr>
                <w:rFonts w:ascii="Arial" w:hAnsi="Arial" w:cs="Arial"/>
                <w:sz w:val="20"/>
                <w:szCs w:val="20"/>
              </w:rPr>
              <w:t>declarations</w:t>
            </w:r>
          </w:p>
        </w:tc>
        <w:tc>
          <w:tcPr>
            <w:tcW w:w="1340" w:type="dxa"/>
          </w:tcPr>
          <w:p w14:paraId="6F4130CD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0C1FC9AF" w14:textId="531BDEDA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0BE53646" w14:textId="77777777" w:rsidTr="007148F0">
        <w:tc>
          <w:tcPr>
            <w:tcW w:w="576" w:type="dxa"/>
          </w:tcPr>
          <w:p w14:paraId="31E03839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1D9C265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Previous minutes</w:t>
            </w:r>
          </w:p>
        </w:tc>
        <w:tc>
          <w:tcPr>
            <w:tcW w:w="1340" w:type="dxa"/>
          </w:tcPr>
          <w:p w14:paraId="57204159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A034E72" w14:textId="4E741A42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3CDAEC37" w14:textId="77777777" w:rsidTr="007148F0">
        <w:tc>
          <w:tcPr>
            <w:tcW w:w="576" w:type="dxa"/>
          </w:tcPr>
          <w:p w14:paraId="735FD127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3DE7A813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Confirmation</w:t>
            </w:r>
          </w:p>
        </w:tc>
        <w:tc>
          <w:tcPr>
            <w:tcW w:w="1340" w:type="dxa"/>
          </w:tcPr>
          <w:p w14:paraId="3E7D4BAC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B27B1BF" w14:textId="682DC221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5014A289" w14:textId="77777777" w:rsidTr="007148F0">
        <w:tc>
          <w:tcPr>
            <w:tcW w:w="576" w:type="dxa"/>
          </w:tcPr>
          <w:p w14:paraId="35A4CF53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EB278B9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Matters arising/action list</w:t>
            </w:r>
          </w:p>
        </w:tc>
        <w:tc>
          <w:tcPr>
            <w:tcW w:w="1340" w:type="dxa"/>
          </w:tcPr>
          <w:p w14:paraId="15343B90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6FCE1550" w14:textId="6C29A88E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5EDED7AA" w14:textId="77777777" w:rsidTr="007148F0">
        <w:tc>
          <w:tcPr>
            <w:tcW w:w="576" w:type="dxa"/>
          </w:tcPr>
          <w:p w14:paraId="19A94FA1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F6085B2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3392B1F9" w14:textId="77777777" w:rsidR="007148F0" w:rsidRPr="0085701A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4F5A59B" w14:textId="4B666DE4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5FDB23BD" w14:textId="77777777" w:rsidTr="007148F0">
        <w:tc>
          <w:tcPr>
            <w:tcW w:w="576" w:type="dxa"/>
          </w:tcPr>
          <w:p w14:paraId="260482FB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16219215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Matters for decision</w:t>
            </w: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340" w:type="dxa"/>
          </w:tcPr>
          <w:p w14:paraId="4F9AD14D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0EDDA44" w14:textId="22941198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649BF1C8" w14:textId="77777777" w:rsidTr="007148F0">
        <w:tc>
          <w:tcPr>
            <w:tcW w:w="576" w:type="dxa"/>
          </w:tcPr>
          <w:p w14:paraId="74F6FCF9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253CB34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Major strategic decisions</w:t>
            </w:r>
          </w:p>
        </w:tc>
        <w:tc>
          <w:tcPr>
            <w:tcW w:w="1340" w:type="dxa"/>
          </w:tcPr>
          <w:p w14:paraId="621283A4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23A74F5A" w14:textId="01B6EF99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24038693" w14:textId="77777777" w:rsidTr="007148F0">
        <w:tc>
          <w:tcPr>
            <w:tcW w:w="576" w:type="dxa"/>
          </w:tcPr>
          <w:p w14:paraId="4D976770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4680F1A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Routine decisions</w:t>
            </w:r>
          </w:p>
        </w:tc>
        <w:tc>
          <w:tcPr>
            <w:tcW w:w="1340" w:type="dxa"/>
          </w:tcPr>
          <w:p w14:paraId="30971134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71822FF" w14:textId="3905DA5E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18D0CDC0" w14:textId="77777777" w:rsidTr="007148F0">
        <w:tc>
          <w:tcPr>
            <w:tcW w:w="576" w:type="dxa"/>
          </w:tcPr>
          <w:p w14:paraId="364E8B7F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7E4A55A8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43C76698" w14:textId="77777777" w:rsidR="007148F0" w:rsidRPr="0085701A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4C51C06" w14:textId="586F601F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772720B4" w14:textId="77777777" w:rsidTr="007148F0">
        <w:tc>
          <w:tcPr>
            <w:tcW w:w="576" w:type="dxa"/>
          </w:tcPr>
          <w:p w14:paraId="1D7201BD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39B971F9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Matters for discussion</w:t>
            </w:r>
          </w:p>
        </w:tc>
        <w:tc>
          <w:tcPr>
            <w:tcW w:w="1340" w:type="dxa"/>
          </w:tcPr>
          <w:p w14:paraId="247089D3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1A562DC8" w14:textId="2573BE53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63429907" w14:textId="77777777" w:rsidTr="007148F0">
        <w:tc>
          <w:tcPr>
            <w:tcW w:w="576" w:type="dxa"/>
          </w:tcPr>
          <w:p w14:paraId="331E8B6F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35D7E67C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Chief executive officer’s report</w:t>
            </w:r>
          </w:p>
        </w:tc>
        <w:tc>
          <w:tcPr>
            <w:tcW w:w="1340" w:type="dxa"/>
          </w:tcPr>
          <w:p w14:paraId="00FF4790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36B1EFA0" w14:textId="78C38CD9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2C6F84B8" w14:textId="77777777" w:rsidTr="007148F0">
        <w:tc>
          <w:tcPr>
            <w:tcW w:w="576" w:type="dxa"/>
          </w:tcPr>
          <w:p w14:paraId="0CF57B76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408E1025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Current significant issues</w:t>
            </w:r>
          </w:p>
        </w:tc>
        <w:tc>
          <w:tcPr>
            <w:tcW w:w="1340" w:type="dxa"/>
          </w:tcPr>
          <w:p w14:paraId="65E33900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50E30B6" w14:textId="52501930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72695FD4" w14:textId="77777777" w:rsidTr="007148F0">
        <w:tc>
          <w:tcPr>
            <w:tcW w:w="576" w:type="dxa"/>
          </w:tcPr>
          <w:p w14:paraId="0FF6F2DC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FCF9002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Update on strategic plan implementation</w:t>
            </w:r>
          </w:p>
        </w:tc>
        <w:tc>
          <w:tcPr>
            <w:tcW w:w="1340" w:type="dxa"/>
          </w:tcPr>
          <w:p w14:paraId="61D98290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28D4450A" w14:textId="7F830EBE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28A37416" w14:textId="77777777" w:rsidTr="007148F0">
        <w:tc>
          <w:tcPr>
            <w:tcW w:w="576" w:type="dxa"/>
          </w:tcPr>
          <w:p w14:paraId="4F8E47FE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06CBE68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Major key performance indicators</w:t>
            </w:r>
          </w:p>
        </w:tc>
        <w:tc>
          <w:tcPr>
            <w:tcW w:w="1340" w:type="dxa"/>
          </w:tcPr>
          <w:p w14:paraId="2642C5EA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6D15B2D" w14:textId="2B4C3966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7BB65B60" w14:textId="77777777" w:rsidTr="007148F0">
        <w:tc>
          <w:tcPr>
            <w:tcW w:w="576" w:type="dxa"/>
          </w:tcPr>
          <w:p w14:paraId="21A94650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75FB2820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Risk and compliance update</w:t>
            </w:r>
          </w:p>
        </w:tc>
        <w:tc>
          <w:tcPr>
            <w:tcW w:w="1340" w:type="dxa"/>
          </w:tcPr>
          <w:p w14:paraId="7219CB18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3F3F5540" w14:textId="645A2A68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0409BA04" w14:textId="77777777" w:rsidTr="007148F0">
        <w:tc>
          <w:tcPr>
            <w:tcW w:w="576" w:type="dxa"/>
          </w:tcPr>
          <w:p w14:paraId="1DDC7DFE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EDA4687" w14:textId="77777777" w:rsidR="007148F0" w:rsidRPr="0085701A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Matters for noting</w:t>
            </w:r>
          </w:p>
        </w:tc>
        <w:tc>
          <w:tcPr>
            <w:tcW w:w="1340" w:type="dxa"/>
          </w:tcPr>
          <w:p w14:paraId="335027E6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6D066F0" w14:textId="5EDF3063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271F9C21" w14:textId="77777777" w:rsidTr="007148F0">
        <w:tc>
          <w:tcPr>
            <w:tcW w:w="576" w:type="dxa"/>
          </w:tcPr>
          <w:p w14:paraId="0431E11B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8957E63" w14:textId="794F3137" w:rsidR="007148F0" w:rsidRPr="0085701A" w:rsidRDefault="002B598B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  <w:r w:rsidR="007148F0" w:rsidRPr="0085701A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340" w:type="dxa"/>
          </w:tcPr>
          <w:p w14:paraId="3E2503BB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A1E4A91" w14:textId="3292A086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2B9996B2" w14:textId="77777777" w:rsidTr="007148F0">
        <w:tc>
          <w:tcPr>
            <w:tcW w:w="576" w:type="dxa"/>
          </w:tcPr>
          <w:p w14:paraId="02B576B5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697B3A2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Discussions concerning forthcoming strategic decisions</w:t>
            </w:r>
          </w:p>
        </w:tc>
        <w:tc>
          <w:tcPr>
            <w:tcW w:w="1340" w:type="dxa"/>
          </w:tcPr>
          <w:p w14:paraId="16138726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04D2F1F9" w14:textId="58F04F00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2AB9448C" w14:textId="77777777" w:rsidTr="007148F0">
        <w:tc>
          <w:tcPr>
            <w:tcW w:w="576" w:type="dxa"/>
          </w:tcPr>
          <w:p w14:paraId="3E36EC8E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5C1DD7E1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Committee minutes</w:t>
            </w:r>
          </w:p>
        </w:tc>
        <w:tc>
          <w:tcPr>
            <w:tcW w:w="1340" w:type="dxa"/>
          </w:tcPr>
          <w:p w14:paraId="3A94DB2F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7FEFB9D6" w14:textId="39242464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4393FCAA" w14:textId="77777777" w:rsidTr="007148F0">
        <w:tc>
          <w:tcPr>
            <w:tcW w:w="576" w:type="dxa"/>
          </w:tcPr>
          <w:p w14:paraId="208787CD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A718E41" w14:textId="12902FBC" w:rsidR="007148F0" w:rsidRPr="0085701A" w:rsidRDefault="002B598B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Finance, </w:t>
            </w:r>
            <w:r w:rsidR="007148F0" w:rsidRPr="008570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Audit and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7148F0" w:rsidRPr="0085701A">
              <w:rPr>
                <w:rFonts w:ascii="Arial" w:hAnsi="Arial" w:cs="Arial"/>
                <w:i/>
                <w:iCs/>
                <w:sz w:val="20"/>
                <w:szCs w:val="20"/>
              </w:rPr>
              <w:t>isk committee</w:t>
            </w:r>
          </w:p>
        </w:tc>
        <w:tc>
          <w:tcPr>
            <w:tcW w:w="1340" w:type="dxa"/>
          </w:tcPr>
          <w:p w14:paraId="135966E1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16B11BB" w14:textId="43D9BDF6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58018616" w14:textId="77777777" w:rsidTr="007148F0">
        <w:tc>
          <w:tcPr>
            <w:tcW w:w="576" w:type="dxa"/>
          </w:tcPr>
          <w:p w14:paraId="1F50D569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7B17D3D7" w14:textId="2CE69B10" w:rsidR="007148F0" w:rsidRPr="0085701A" w:rsidRDefault="00E10162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Nominations</w:t>
            </w:r>
            <w:r w:rsidR="007148F0" w:rsidRPr="008570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committee</w:t>
            </w:r>
          </w:p>
        </w:tc>
        <w:tc>
          <w:tcPr>
            <w:tcW w:w="1340" w:type="dxa"/>
          </w:tcPr>
          <w:p w14:paraId="490C0CCF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C26CFDF" w14:textId="774C66AE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48F0" w:rsidRPr="0085701A" w14:paraId="29D681FC" w14:textId="77777777" w:rsidTr="007148F0">
        <w:tc>
          <w:tcPr>
            <w:tcW w:w="576" w:type="dxa"/>
          </w:tcPr>
          <w:p w14:paraId="76CDAA0C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B0179E2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Chair’s update</w:t>
            </w:r>
          </w:p>
        </w:tc>
        <w:tc>
          <w:tcPr>
            <w:tcW w:w="1340" w:type="dxa"/>
          </w:tcPr>
          <w:p w14:paraId="73B8E37F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2AD9FC2" w14:textId="30A98DFD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173A220D" w14:textId="77777777" w:rsidTr="007148F0">
        <w:tc>
          <w:tcPr>
            <w:tcW w:w="576" w:type="dxa"/>
          </w:tcPr>
          <w:p w14:paraId="62408077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5F8D4399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522DF776" w14:textId="77777777" w:rsidR="007148F0" w:rsidRPr="0085701A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496733C6" w14:textId="06DFC8FB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3F6AEB53" w14:textId="77777777" w:rsidTr="007148F0">
        <w:tc>
          <w:tcPr>
            <w:tcW w:w="576" w:type="dxa"/>
          </w:tcPr>
          <w:p w14:paraId="2C390E83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3EE7D80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Matters for noting</w:t>
            </w:r>
          </w:p>
        </w:tc>
        <w:tc>
          <w:tcPr>
            <w:tcW w:w="1340" w:type="dxa"/>
          </w:tcPr>
          <w:p w14:paraId="0E7AD9C5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0F515D09" w14:textId="6459424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56DEF2E7" w14:textId="77777777" w:rsidTr="007148F0">
        <w:tc>
          <w:tcPr>
            <w:tcW w:w="576" w:type="dxa"/>
          </w:tcPr>
          <w:p w14:paraId="03D2ACD1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43C835A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Major correspondence</w:t>
            </w:r>
          </w:p>
        </w:tc>
        <w:tc>
          <w:tcPr>
            <w:tcW w:w="1340" w:type="dxa"/>
          </w:tcPr>
          <w:p w14:paraId="4AB561F2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087DABA" w14:textId="7BF6EB7F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4D7DDF52" w14:textId="77777777" w:rsidTr="007148F0">
        <w:tc>
          <w:tcPr>
            <w:tcW w:w="576" w:type="dxa"/>
          </w:tcPr>
          <w:p w14:paraId="42195FE2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62804461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Updated board calendar</w:t>
            </w:r>
          </w:p>
        </w:tc>
        <w:tc>
          <w:tcPr>
            <w:tcW w:w="1340" w:type="dxa"/>
          </w:tcPr>
          <w:p w14:paraId="7F716B5B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DCC30ED" w14:textId="45F9139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68683C31" w14:textId="77777777" w:rsidTr="007148F0">
        <w:tc>
          <w:tcPr>
            <w:tcW w:w="576" w:type="dxa"/>
          </w:tcPr>
          <w:p w14:paraId="670A29A2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BEC2BD5" w14:textId="77777777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DA41A7" w14:textId="77777777" w:rsidR="007148F0" w:rsidRPr="0085701A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7E5A4724" w14:textId="2FF5EEE3" w:rsidR="007148F0" w:rsidRPr="0085701A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5A4F2C8E" w14:textId="77777777" w:rsidTr="007148F0">
        <w:tc>
          <w:tcPr>
            <w:tcW w:w="576" w:type="dxa"/>
          </w:tcPr>
          <w:p w14:paraId="01DA176B" w14:textId="77777777" w:rsidR="007148F0" w:rsidRPr="0085701A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6C121C4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1A">
              <w:rPr>
                <w:rFonts w:ascii="Arial" w:hAnsi="Arial" w:cs="Arial"/>
                <w:b/>
                <w:bCs/>
                <w:sz w:val="20"/>
                <w:szCs w:val="20"/>
              </w:rPr>
              <w:t>Meeting finalisation</w:t>
            </w:r>
          </w:p>
        </w:tc>
        <w:tc>
          <w:tcPr>
            <w:tcW w:w="1340" w:type="dxa"/>
          </w:tcPr>
          <w:p w14:paraId="40CD097F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14:paraId="5A391107" w14:textId="4F508C9C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48F0" w:rsidRPr="0085701A" w14:paraId="2C0A3BB1" w14:textId="77777777" w:rsidTr="007148F0">
        <w:tc>
          <w:tcPr>
            <w:tcW w:w="576" w:type="dxa"/>
          </w:tcPr>
          <w:p w14:paraId="2A6D3CD2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3BC31A15" w14:textId="481C6005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 xml:space="preserve">Review actions </w:t>
            </w:r>
          </w:p>
        </w:tc>
        <w:tc>
          <w:tcPr>
            <w:tcW w:w="1340" w:type="dxa"/>
          </w:tcPr>
          <w:p w14:paraId="453E15D2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46CC70A5" w14:textId="169DF7F4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07204122" w14:textId="77777777" w:rsidTr="007148F0">
        <w:tc>
          <w:tcPr>
            <w:tcW w:w="576" w:type="dxa"/>
          </w:tcPr>
          <w:p w14:paraId="1FA0AF4C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271C0B6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Decisions/items for public disclosure</w:t>
            </w:r>
          </w:p>
        </w:tc>
        <w:tc>
          <w:tcPr>
            <w:tcW w:w="1340" w:type="dxa"/>
          </w:tcPr>
          <w:p w14:paraId="34B59112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0FAF89C" w14:textId="34BF94A0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4B0A12FC" w14:textId="77777777" w:rsidTr="007148F0">
        <w:tc>
          <w:tcPr>
            <w:tcW w:w="576" w:type="dxa"/>
          </w:tcPr>
          <w:p w14:paraId="7B6F5B43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A0D1618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Meeting evaluation</w:t>
            </w:r>
          </w:p>
        </w:tc>
        <w:tc>
          <w:tcPr>
            <w:tcW w:w="1340" w:type="dxa"/>
          </w:tcPr>
          <w:p w14:paraId="794C5A66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3158131" w14:textId="619A58C5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765F09FD" w14:textId="77777777" w:rsidTr="007148F0">
        <w:tc>
          <w:tcPr>
            <w:tcW w:w="576" w:type="dxa"/>
          </w:tcPr>
          <w:p w14:paraId="5C8733BF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9D91D4C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1340" w:type="dxa"/>
          </w:tcPr>
          <w:p w14:paraId="2581089C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2945D091" w14:textId="479E787C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8F0" w:rsidRPr="0085701A" w14:paraId="13C869D8" w14:textId="77777777" w:rsidTr="007148F0">
        <w:tc>
          <w:tcPr>
            <w:tcW w:w="576" w:type="dxa"/>
          </w:tcPr>
          <w:p w14:paraId="370F1B68" w14:textId="77777777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599B3F38" w14:textId="77777777" w:rsidR="007148F0" w:rsidRPr="0085701A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5701A">
              <w:rPr>
                <w:rFonts w:ascii="Arial" w:hAnsi="Arial" w:cs="Arial"/>
                <w:sz w:val="20"/>
                <w:szCs w:val="20"/>
              </w:rPr>
              <w:t>Meeting close</w:t>
            </w:r>
          </w:p>
        </w:tc>
        <w:tc>
          <w:tcPr>
            <w:tcW w:w="1340" w:type="dxa"/>
          </w:tcPr>
          <w:p w14:paraId="56C39C82" w14:textId="77777777" w:rsidR="007148F0" w:rsidRPr="0085701A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33D52A66" w14:textId="7C07EAB2" w:rsidR="007148F0" w:rsidRPr="0085701A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912E55" w14:textId="77777777" w:rsidR="004948E5" w:rsidRPr="00DC0591" w:rsidRDefault="00AB52E9" w:rsidP="00DC0591">
      <w:pPr>
        <w:autoSpaceDE w:val="0"/>
        <w:autoSpaceDN w:val="0"/>
        <w:adjustRightInd w:val="0"/>
        <w:spacing w:after="0" w:line="240" w:lineRule="auto"/>
        <w:rPr>
          <w:rFonts w:ascii="FoundryFormSans-Book" w:hAnsi="FoundryFormSans-Book" w:cs="FoundryFormSans-Book"/>
          <w:color w:val="17135F"/>
          <w:sz w:val="18"/>
          <w:szCs w:val="18"/>
        </w:rPr>
      </w:pPr>
    </w:p>
    <w:sectPr w:rsidR="004948E5" w:rsidRPr="00DC0591" w:rsidSect="00D6745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Form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undryForm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2306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EE"/>
    <w:rsid w:val="0009460E"/>
    <w:rsid w:val="000F3F79"/>
    <w:rsid w:val="00163061"/>
    <w:rsid w:val="001E4D9E"/>
    <w:rsid w:val="002B598B"/>
    <w:rsid w:val="00322004"/>
    <w:rsid w:val="003E496D"/>
    <w:rsid w:val="0046602B"/>
    <w:rsid w:val="00471410"/>
    <w:rsid w:val="005A43A7"/>
    <w:rsid w:val="007148F0"/>
    <w:rsid w:val="0079566E"/>
    <w:rsid w:val="007D2F11"/>
    <w:rsid w:val="0085701A"/>
    <w:rsid w:val="008800DA"/>
    <w:rsid w:val="00891BC1"/>
    <w:rsid w:val="009727AD"/>
    <w:rsid w:val="00A169BE"/>
    <w:rsid w:val="00AB52E9"/>
    <w:rsid w:val="00C34115"/>
    <w:rsid w:val="00CA6571"/>
    <w:rsid w:val="00D6745D"/>
    <w:rsid w:val="00D75D6B"/>
    <w:rsid w:val="00DC0591"/>
    <w:rsid w:val="00E10162"/>
    <w:rsid w:val="00E12104"/>
    <w:rsid w:val="00E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7D79"/>
  <w15:chartTrackingRefBased/>
  <w15:docId w15:val="{76F3EFDB-6F3B-4221-AFB0-F1CCC90B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66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10"/>
    <w:pPr>
      <w:ind w:left="720"/>
      <w:contextualSpacing/>
    </w:pPr>
  </w:style>
  <w:style w:type="table" w:styleId="TableGrid">
    <w:name w:val="Table Grid"/>
    <w:basedOn w:val="TableNormal"/>
    <w:uiPriority w:val="39"/>
    <w:rsid w:val="00DC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56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67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E824B-DE64-486A-9BEB-B0956809BD8F}">
  <ds:schemaRefs>
    <ds:schemaRef ds:uri="http://purl.org/dc/elements/1.1/"/>
    <ds:schemaRef ds:uri="http://schemas.microsoft.com/office/2006/metadata/properties"/>
    <ds:schemaRef ds:uri="25c3281b-f043-4aaa-8c49-acda505ea80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cba0c7b-7b0f-4f71-9d50-cdef54327b2d"/>
  </ds:schemaRefs>
</ds:datastoreItem>
</file>

<file path=customXml/itemProps2.xml><?xml version="1.0" encoding="utf-8"?>
<ds:datastoreItem xmlns:ds="http://schemas.openxmlformats.org/officeDocument/2006/customXml" ds:itemID="{12EACABF-7D2F-4152-AD9C-6FD3F006B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2B929-5C45-4BED-9446-D5F7F05B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Daley</dc:creator>
  <cp:keywords/>
  <dc:description/>
  <cp:lastModifiedBy>Jason Lawless</cp:lastModifiedBy>
  <cp:revision>20</cp:revision>
  <dcterms:created xsi:type="dcterms:W3CDTF">2019-03-05T04:23:00Z</dcterms:created>
  <dcterms:modified xsi:type="dcterms:W3CDTF">2020-07-31T04:43:00Z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AuthorIds_UIVersion_512">
    <vt:lpwstr>20</vt:lpwstr>
  </property>
</Properties>
</file>